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4"/>
      </w:tblGrid>
      <w:tr w:rsidR="00F15A28" w:rsidRPr="00E74E44" w14:paraId="58889213" w14:textId="77777777" w:rsidTr="00F12686">
        <w:tc>
          <w:tcPr>
            <w:tcW w:w="9204" w:type="dxa"/>
          </w:tcPr>
          <w:p w14:paraId="3DF419A5" w14:textId="3183E426" w:rsidR="00F12686" w:rsidRPr="00E74E44" w:rsidRDefault="008F5428" w:rsidP="00F12686">
            <w:pPr>
              <w:tabs>
                <w:tab w:val="left" w:pos="720"/>
                <w:tab w:val="left" w:pos="1080"/>
                <w:tab w:val="left" w:pos="1440"/>
              </w:tabs>
              <w:ind w:firstLine="0"/>
              <w:jc w:val="both"/>
              <w:rPr>
                <w:rFonts w:ascii="TH SarabunPSK" w:hAnsi="TH SarabunPSK" w:cs="TH SarabunPSK"/>
                <w:b/>
                <w:sz w:val="40"/>
                <w:szCs w:val="40"/>
              </w:rPr>
            </w:pPr>
            <w:r w:rsidRPr="00E74E44">
              <w:rPr>
                <w:rFonts w:ascii="TH SarabunPSK" w:hAnsi="TH SarabunPSK" w:cs="TH SarabunPSK"/>
                <w:b/>
                <w:sz w:val="40"/>
                <w:szCs w:val="40"/>
              </w:rPr>
              <w:t>Research Articles</w:t>
            </w:r>
          </w:p>
        </w:tc>
      </w:tr>
    </w:tbl>
    <w:p w14:paraId="35481DC0" w14:textId="77777777" w:rsidR="00337273" w:rsidRPr="00E74E44" w:rsidRDefault="00337273" w:rsidP="009775EE">
      <w:pPr>
        <w:spacing w:before="120"/>
        <w:ind w:right="-331" w:firstLine="0"/>
        <w:jc w:val="center"/>
        <w:rPr>
          <w:rFonts w:ascii="TH SarabunPSK" w:hAnsi="TH SarabunPSK" w:cs="TH SarabunPSK"/>
          <w:b/>
          <w:sz w:val="32"/>
          <w:szCs w:val="32"/>
        </w:rPr>
      </w:pPr>
      <w:r w:rsidRPr="00E74E44">
        <w:rPr>
          <w:rFonts w:ascii="TH SarabunPSK" w:hAnsi="TH SarabunPSK" w:cs="TH SarabunPSK"/>
          <w:b/>
          <w:sz w:val="40"/>
          <w:szCs w:val="40"/>
        </w:rPr>
        <w:t>Competitive Advantage in Esports: A Strategic Guide to Successor Development, Industrial Technology, and Professional Skill</w:t>
      </w:r>
    </w:p>
    <w:p w14:paraId="5ED9A959" w14:textId="249CA0CC" w:rsidR="00A46FCC" w:rsidRPr="00E74E44" w:rsidRDefault="00337273" w:rsidP="009775EE">
      <w:pPr>
        <w:spacing w:before="120"/>
        <w:ind w:right="-331" w:firstLine="0"/>
        <w:jc w:val="center"/>
        <w:rPr>
          <w:rFonts w:ascii="TH SarabunPSK" w:hAnsi="TH SarabunPSK" w:cs="TH SarabunPSK"/>
          <w:b/>
          <w:sz w:val="24"/>
          <w:szCs w:val="24"/>
        </w:rPr>
      </w:pPr>
      <w:r w:rsidRPr="00E74E44">
        <w:rPr>
          <w:rFonts w:ascii="TH SarabunPSK" w:hAnsi="TH SarabunPSK" w:cs="TH SarabunPSK"/>
          <w:b/>
          <w:sz w:val="32"/>
          <w:szCs w:val="32"/>
        </w:rPr>
        <w:t>Paweena Chanyuang</w:t>
      </w:r>
      <w:r w:rsidR="00A46FCC" w:rsidRPr="00E74E44">
        <w:rPr>
          <w:rFonts w:ascii="TH SarabunPSK" w:hAnsi="TH SarabunPSK" w:cs="TH SarabunPSK"/>
          <w:b/>
          <w:sz w:val="32"/>
          <w:szCs w:val="32"/>
          <w:vertAlign w:val="superscript"/>
        </w:rPr>
        <w:t>1*</w:t>
      </w:r>
      <w:r w:rsidR="00A46FCC" w:rsidRPr="00E74E44">
        <w:rPr>
          <w:rFonts w:ascii="TH SarabunPSK" w:hAnsi="TH SarabunPSK" w:cs="TH SarabunPSK"/>
          <w:b/>
          <w:sz w:val="32"/>
          <w:szCs w:val="32"/>
        </w:rPr>
        <w:t xml:space="preserve">, </w:t>
      </w:r>
      <w:proofErr w:type="spellStart"/>
      <w:r w:rsidR="00A46FCC" w:rsidRPr="00E74E44">
        <w:rPr>
          <w:rFonts w:ascii="TH SarabunPSK" w:hAnsi="TH SarabunPSK" w:cs="TH SarabunPSK"/>
          <w:b/>
          <w:sz w:val="32"/>
          <w:szCs w:val="32"/>
        </w:rPr>
        <w:t>Piched</w:t>
      </w:r>
      <w:proofErr w:type="spellEnd"/>
      <w:r w:rsidR="00A46FCC" w:rsidRPr="00E74E44">
        <w:rPr>
          <w:rFonts w:ascii="TH SarabunPSK" w:hAnsi="TH SarabunPSK" w:cs="TH SarabunPSK"/>
          <w:b/>
          <w:sz w:val="32"/>
          <w:szCs w:val="32"/>
        </w:rPr>
        <w:t xml:space="preserve"> Girdwichai</w:t>
      </w:r>
      <w:r w:rsidR="00A46FCC" w:rsidRPr="00E74E44">
        <w:rPr>
          <w:rFonts w:ascii="TH SarabunPSK" w:hAnsi="TH SarabunPSK" w:cs="TH SarabunPSK"/>
          <w:b/>
          <w:sz w:val="32"/>
          <w:szCs w:val="32"/>
          <w:vertAlign w:val="superscript"/>
        </w:rPr>
        <w:t>2</w:t>
      </w:r>
      <w:r w:rsidRPr="00E74E44">
        <w:rPr>
          <w:rFonts w:ascii="TH SarabunPSK" w:hAnsi="TH SarabunPSK" w:cs="TH SarabunPSK"/>
          <w:b/>
          <w:sz w:val="32"/>
          <w:szCs w:val="32"/>
        </w:rPr>
        <w:t>, Wichar Kunkum</w:t>
      </w:r>
      <w:r w:rsidRPr="00E74E44">
        <w:rPr>
          <w:rFonts w:ascii="TH SarabunPSK" w:hAnsi="TH SarabunPSK" w:cs="TH SarabunPSK"/>
          <w:b/>
          <w:sz w:val="32"/>
          <w:szCs w:val="32"/>
          <w:vertAlign w:val="superscript"/>
        </w:rPr>
        <w:t>3</w:t>
      </w:r>
      <w:r w:rsidRPr="00E74E44">
        <w:rPr>
          <w:rFonts w:ascii="TH SarabunPSK" w:hAnsi="TH SarabunPSK" w:cs="TH SarabunPSK"/>
          <w:b/>
          <w:sz w:val="32"/>
          <w:szCs w:val="32"/>
        </w:rPr>
        <w:t xml:space="preserve">, </w:t>
      </w:r>
      <w:proofErr w:type="spellStart"/>
      <w:r w:rsidRPr="00E74E44">
        <w:rPr>
          <w:rFonts w:ascii="TH SarabunPSK" w:hAnsi="TH SarabunPSK" w:cs="TH SarabunPSK"/>
          <w:b/>
          <w:sz w:val="32"/>
          <w:szCs w:val="32"/>
        </w:rPr>
        <w:t>Tappawan</w:t>
      </w:r>
      <w:proofErr w:type="spellEnd"/>
      <w:r w:rsidRPr="00E74E44">
        <w:rPr>
          <w:rFonts w:ascii="TH SarabunPSK" w:hAnsi="TH SarabunPSK" w:cs="TH SarabunPSK"/>
          <w:b/>
          <w:sz w:val="32"/>
          <w:szCs w:val="32"/>
        </w:rPr>
        <w:t xml:space="preserve"> Preedagasemzin</w:t>
      </w:r>
      <w:r w:rsidRPr="00E74E44">
        <w:rPr>
          <w:rFonts w:ascii="TH SarabunPSK" w:hAnsi="TH SarabunPSK" w:cs="TH SarabunPSK"/>
          <w:b/>
          <w:sz w:val="32"/>
          <w:szCs w:val="32"/>
          <w:vertAlign w:val="superscript"/>
        </w:rPr>
        <w:t>4</w:t>
      </w:r>
      <w:r w:rsidRPr="00E74E44">
        <w:rPr>
          <w:rFonts w:ascii="TH SarabunPSK" w:hAnsi="TH SarabunPSK" w:cs="TH SarabunPSK"/>
          <w:b/>
          <w:sz w:val="32"/>
          <w:szCs w:val="32"/>
        </w:rPr>
        <w:t>, Monchai Sripetnai</w:t>
      </w:r>
      <w:r w:rsidRPr="00E74E44">
        <w:rPr>
          <w:rFonts w:ascii="TH SarabunPSK" w:hAnsi="TH SarabunPSK" w:cs="TH SarabunPSK"/>
          <w:b/>
          <w:sz w:val="32"/>
          <w:szCs w:val="32"/>
          <w:vertAlign w:val="superscript"/>
        </w:rPr>
        <w:t>5</w:t>
      </w:r>
    </w:p>
    <w:p w14:paraId="05C0C3D4" w14:textId="2E6BA744" w:rsidR="007C339B" w:rsidRPr="00E74E44" w:rsidRDefault="007C339B" w:rsidP="00337273">
      <w:pPr>
        <w:ind w:right="-331" w:firstLine="0"/>
        <w:jc w:val="center"/>
        <w:rPr>
          <w:rFonts w:ascii="TH SarabunPSK" w:hAnsi="TH SarabunPSK" w:cs="TH SarabunPSK"/>
          <w:bCs/>
          <w:sz w:val="24"/>
          <w:szCs w:val="24"/>
        </w:rPr>
      </w:pPr>
      <w:bookmarkStart w:id="0" w:name="_Hlk237511271"/>
      <w:r w:rsidRPr="00E74E44">
        <w:rPr>
          <w:rFonts w:ascii="TH SarabunPSK" w:hAnsi="TH SarabunPSK" w:cs="TH SarabunPSK"/>
          <w:bCs/>
          <w:sz w:val="24"/>
          <w:szCs w:val="24"/>
        </w:rPr>
        <w:t>1.</w:t>
      </w:r>
      <w:r w:rsidR="00DE262B" w:rsidRPr="00E74E44">
        <w:rPr>
          <w:rFonts w:ascii="TH SarabunPSK" w:hAnsi="TH SarabunPSK" w:cs="TH SarabunPSK"/>
          <w:bCs/>
          <w:sz w:val="24"/>
          <w:szCs w:val="24"/>
        </w:rPr>
        <w:t xml:space="preserve"> </w:t>
      </w:r>
      <w:r w:rsidR="0065210D" w:rsidRPr="00E74E44">
        <w:rPr>
          <w:rFonts w:ascii="TH SarabunPSK" w:hAnsi="TH SarabunPSK" w:cs="TH SarabunPSK"/>
          <w:bCs/>
          <w:sz w:val="24"/>
          <w:szCs w:val="24"/>
        </w:rPr>
        <w:t xml:space="preserve">College of Innovation and Management, Suan Sunandha Rajabhat University, Thailand. </w:t>
      </w:r>
      <w:r w:rsidR="00A46FCC" w:rsidRPr="00E74E44">
        <w:rPr>
          <w:rFonts w:ascii="TH SarabunPSK" w:hAnsi="TH SarabunPSK" w:cs="TH SarabunPSK"/>
          <w:b/>
          <w:sz w:val="24"/>
          <w:szCs w:val="24"/>
        </w:rPr>
        <w:t>E-mail:</w:t>
      </w:r>
      <w:r w:rsidR="00A46FCC" w:rsidRPr="00E74E44">
        <w:rPr>
          <w:rFonts w:ascii="TH SarabunPSK" w:hAnsi="TH SarabunPSK" w:cs="TH SarabunPSK"/>
          <w:bCs/>
          <w:sz w:val="24"/>
          <w:szCs w:val="24"/>
        </w:rPr>
        <w:t xml:space="preserve"> </w:t>
      </w:r>
      <w:r w:rsidR="00337273" w:rsidRPr="00E74E44">
        <w:rPr>
          <w:rFonts w:ascii="TH SarabunPSK" w:hAnsi="TH SarabunPSK" w:cs="TH SarabunPSK"/>
          <w:bCs/>
          <w:sz w:val="24"/>
          <w:szCs w:val="24"/>
        </w:rPr>
        <w:t>s67567814020@ssru.ac.th</w:t>
      </w:r>
    </w:p>
    <w:bookmarkEnd w:id="0"/>
    <w:p w14:paraId="6692CF0B" w14:textId="6A178D16" w:rsidR="000644B6" w:rsidRPr="00E74E44" w:rsidRDefault="00A46FCC" w:rsidP="00337273">
      <w:pPr>
        <w:ind w:right="-326" w:firstLine="0"/>
        <w:jc w:val="center"/>
        <w:rPr>
          <w:rFonts w:ascii="TH SarabunPSK" w:hAnsi="TH SarabunPSK" w:cs="TH SarabunPSK"/>
          <w:bCs/>
          <w:sz w:val="24"/>
          <w:szCs w:val="24"/>
        </w:rPr>
      </w:pPr>
      <w:r w:rsidRPr="00E74E44">
        <w:rPr>
          <w:rFonts w:ascii="TH SarabunPSK" w:hAnsi="TH SarabunPSK" w:cs="TH SarabunPSK"/>
          <w:bCs/>
          <w:sz w:val="24"/>
          <w:szCs w:val="24"/>
        </w:rPr>
        <w:t>2</w:t>
      </w:r>
      <w:r w:rsidR="007C339B" w:rsidRPr="00E74E44">
        <w:rPr>
          <w:rFonts w:ascii="TH SarabunPSK" w:hAnsi="TH SarabunPSK" w:cs="TH SarabunPSK"/>
          <w:bCs/>
          <w:sz w:val="24"/>
          <w:szCs w:val="24"/>
        </w:rPr>
        <w:t xml:space="preserve">. </w:t>
      </w:r>
      <w:bookmarkStart w:id="1" w:name="_Hlk226207430"/>
      <w:r w:rsidR="0065210D" w:rsidRPr="00E74E44">
        <w:rPr>
          <w:rFonts w:ascii="TH SarabunPSK" w:hAnsi="TH SarabunPSK" w:cs="TH SarabunPSK"/>
          <w:bCs/>
          <w:sz w:val="24"/>
          <w:szCs w:val="24"/>
        </w:rPr>
        <w:t xml:space="preserve">College of Innovation and Management, Suan Sunandha Rajabhat University, Thailand. </w:t>
      </w:r>
      <w:r w:rsidRPr="00E74E44">
        <w:rPr>
          <w:rFonts w:ascii="TH SarabunPSK" w:hAnsi="TH SarabunPSK" w:cs="TH SarabunPSK"/>
          <w:b/>
          <w:sz w:val="24"/>
          <w:szCs w:val="24"/>
        </w:rPr>
        <w:t>E-mail:</w:t>
      </w:r>
      <w:r w:rsidRPr="00E74E44">
        <w:rPr>
          <w:rFonts w:ascii="TH SarabunPSK" w:hAnsi="TH SarabunPSK" w:cs="TH SarabunPSK"/>
          <w:bCs/>
          <w:sz w:val="24"/>
          <w:szCs w:val="24"/>
        </w:rPr>
        <w:t xml:space="preserve"> piched.gi@ssru.ac.th</w:t>
      </w:r>
    </w:p>
    <w:p w14:paraId="3C4D8B39" w14:textId="57E88C90" w:rsidR="00337273" w:rsidRPr="00E74E44" w:rsidRDefault="00337273" w:rsidP="00337273">
      <w:pPr>
        <w:ind w:right="-331" w:firstLine="0"/>
        <w:jc w:val="center"/>
        <w:rPr>
          <w:rFonts w:ascii="TH SarabunPSK" w:hAnsi="TH SarabunPSK" w:cs="TH SarabunPSK"/>
          <w:bCs/>
          <w:sz w:val="24"/>
          <w:szCs w:val="24"/>
        </w:rPr>
      </w:pPr>
      <w:r w:rsidRPr="00E74E44">
        <w:rPr>
          <w:rFonts w:ascii="TH SarabunPSK" w:hAnsi="TH SarabunPSK" w:cs="TH SarabunPSK"/>
          <w:bCs/>
          <w:sz w:val="24"/>
          <w:szCs w:val="24"/>
        </w:rPr>
        <w:t xml:space="preserve">3. </w:t>
      </w:r>
      <w:r w:rsidR="0065210D" w:rsidRPr="00E74E44">
        <w:rPr>
          <w:rFonts w:ascii="TH SarabunPSK" w:hAnsi="TH SarabunPSK" w:cs="TH SarabunPSK"/>
          <w:bCs/>
          <w:sz w:val="24"/>
          <w:szCs w:val="24"/>
        </w:rPr>
        <w:t xml:space="preserve">College of Innovation and Management, Suan Sunandha Rajabhat University, Thailand. </w:t>
      </w:r>
      <w:r w:rsidRPr="00E74E44">
        <w:rPr>
          <w:rFonts w:ascii="TH SarabunPSK" w:hAnsi="TH SarabunPSK" w:cs="TH SarabunPSK"/>
          <w:b/>
          <w:sz w:val="24"/>
          <w:szCs w:val="24"/>
        </w:rPr>
        <w:t>E-mail:</w:t>
      </w:r>
      <w:r w:rsidRPr="00E74E44">
        <w:rPr>
          <w:rFonts w:ascii="TH SarabunPSK" w:hAnsi="TH SarabunPSK" w:cs="TH SarabunPSK"/>
          <w:bCs/>
          <w:sz w:val="24"/>
          <w:szCs w:val="24"/>
        </w:rPr>
        <w:t xml:space="preserve"> </w:t>
      </w:r>
      <w:r w:rsidR="00175A1E" w:rsidRPr="00E74E44">
        <w:rPr>
          <w:rFonts w:ascii="TH SarabunPSK" w:hAnsi="TH SarabunPSK" w:cs="TH SarabunPSK"/>
          <w:bCs/>
          <w:sz w:val="24"/>
          <w:szCs w:val="24"/>
        </w:rPr>
        <w:t>wichar.ku@ssru.ac.th</w:t>
      </w:r>
    </w:p>
    <w:p w14:paraId="77552004" w14:textId="590FA318" w:rsidR="00337273" w:rsidRPr="00E74E44" w:rsidRDefault="00337273" w:rsidP="00337273">
      <w:pPr>
        <w:ind w:right="-331" w:firstLine="0"/>
        <w:jc w:val="center"/>
        <w:rPr>
          <w:rFonts w:ascii="TH SarabunPSK" w:hAnsi="TH SarabunPSK" w:cs="TH SarabunPSK"/>
          <w:bCs/>
          <w:sz w:val="24"/>
          <w:szCs w:val="24"/>
        </w:rPr>
      </w:pPr>
      <w:r w:rsidRPr="00E74E44">
        <w:rPr>
          <w:rFonts w:ascii="TH SarabunPSK" w:hAnsi="TH SarabunPSK" w:cs="TH SarabunPSK"/>
          <w:bCs/>
          <w:sz w:val="24"/>
          <w:szCs w:val="24"/>
        </w:rPr>
        <w:t xml:space="preserve">4. </w:t>
      </w:r>
      <w:r w:rsidR="0065210D" w:rsidRPr="00E74E44">
        <w:rPr>
          <w:rFonts w:ascii="TH SarabunPSK" w:hAnsi="TH SarabunPSK" w:cs="TH SarabunPSK"/>
          <w:bCs/>
          <w:sz w:val="24"/>
          <w:szCs w:val="24"/>
        </w:rPr>
        <w:t xml:space="preserve">College of Innovation and Management, Suan Sunandha Rajabhat University, Thailand. </w:t>
      </w:r>
      <w:r w:rsidRPr="00E74E44">
        <w:rPr>
          <w:rFonts w:ascii="TH SarabunPSK" w:hAnsi="TH SarabunPSK" w:cs="TH SarabunPSK"/>
          <w:b/>
          <w:sz w:val="24"/>
          <w:szCs w:val="24"/>
        </w:rPr>
        <w:t>E-mail:</w:t>
      </w:r>
      <w:r w:rsidRPr="00E74E44">
        <w:rPr>
          <w:rFonts w:ascii="TH SarabunPSK" w:hAnsi="TH SarabunPSK" w:cs="TH SarabunPSK"/>
          <w:bCs/>
          <w:sz w:val="24"/>
          <w:szCs w:val="24"/>
        </w:rPr>
        <w:t xml:space="preserve"> </w:t>
      </w:r>
      <w:r w:rsidR="00175A1E" w:rsidRPr="00E74E44">
        <w:rPr>
          <w:rFonts w:ascii="TH SarabunPSK" w:hAnsi="TH SarabunPSK" w:cs="TH SarabunPSK"/>
          <w:bCs/>
          <w:sz w:val="24"/>
          <w:szCs w:val="24"/>
        </w:rPr>
        <w:t>tappawan.pr@ssru.ac.th</w:t>
      </w:r>
    </w:p>
    <w:p w14:paraId="73E7BC2D" w14:textId="1361D9DC" w:rsidR="00337273" w:rsidRPr="00E74E44" w:rsidRDefault="00337273" w:rsidP="00337273">
      <w:pPr>
        <w:ind w:right="-331" w:firstLine="0"/>
        <w:jc w:val="center"/>
        <w:rPr>
          <w:rFonts w:ascii="TH SarabunPSK" w:hAnsi="TH SarabunPSK" w:cs="TH SarabunPSK"/>
          <w:bCs/>
          <w:sz w:val="24"/>
          <w:szCs w:val="24"/>
        </w:rPr>
      </w:pPr>
      <w:r w:rsidRPr="00E74E44">
        <w:rPr>
          <w:rFonts w:ascii="TH SarabunPSK" w:hAnsi="TH SarabunPSK" w:cs="TH SarabunPSK"/>
          <w:bCs/>
          <w:sz w:val="24"/>
          <w:szCs w:val="24"/>
        </w:rPr>
        <w:t xml:space="preserve">5. </w:t>
      </w:r>
      <w:r w:rsidR="0065210D" w:rsidRPr="00E74E44">
        <w:rPr>
          <w:rFonts w:ascii="TH SarabunPSK" w:hAnsi="TH SarabunPSK" w:cs="TH SarabunPSK"/>
          <w:bCs/>
          <w:sz w:val="24"/>
          <w:szCs w:val="24"/>
        </w:rPr>
        <w:t xml:space="preserve">College of Innovation and Management, Suan Sunandha Rajabhat University, Thailand. </w:t>
      </w:r>
      <w:r w:rsidRPr="00E74E44">
        <w:rPr>
          <w:rFonts w:ascii="TH SarabunPSK" w:hAnsi="TH SarabunPSK" w:cs="TH SarabunPSK"/>
          <w:b/>
          <w:sz w:val="24"/>
          <w:szCs w:val="24"/>
        </w:rPr>
        <w:t>E-mail:</w:t>
      </w:r>
      <w:r w:rsidRPr="00E74E44">
        <w:rPr>
          <w:rFonts w:ascii="TH SarabunPSK" w:hAnsi="TH SarabunPSK" w:cs="TH SarabunPSK"/>
          <w:bCs/>
          <w:sz w:val="24"/>
          <w:szCs w:val="24"/>
        </w:rPr>
        <w:t xml:space="preserve"> </w:t>
      </w:r>
      <w:r w:rsidR="00175A1E" w:rsidRPr="00E74E44">
        <w:rPr>
          <w:rFonts w:ascii="TH SarabunPSK" w:hAnsi="TH SarabunPSK" w:cs="TH SarabunPSK"/>
          <w:bCs/>
          <w:sz w:val="24"/>
          <w:szCs w:val="24"/>
        </w:rPr>
        <w:t>monchai.sr@ssru.ac.th</w:t>
      </w:r>
    </w:p>
    <w:bookmarkEnd w:id="1"/>
    <w:p w14:paraId="5913AF9A" w14:textId="7296FB35" w:rsidR="009156D0" w:rsidRPr="00E74E44" w:rsidRDefault="009156D0" w:rsidP="00F15A28">
      <w:pPr>
        <w:spacing w:before="120" w:after="120"/>
        <w:ind w:firstLine="0"/>
        <w:jc w:val="center"/>
        <w:rPr>
          <w:rFonts w:ascii="TH SarabunPSK" w:hAnsi="TH SarabunPSK" w:cs="TH SarabunPSK"/>
          <w:b/>
          <w:sz w:val="24"/>
          <w:szCs w:val="24"/>
        </w:rPr>
      </w:pPr>
      <w:r w:rsidRPr="00E74E44">
        <w:rPr>
          <w:rFonts w:ascii="TH SarabunPSK" w:hAnsi="TH SarabunPSK" w:cs="TH SarabunPSK"/>
          <w:b/>
          <w:sz w:val="24"/>
          <w:szCs w:val="24"/>
        </w:rPr>
        <w:t>*</w:t>
      </w:r>
      <w:r w:rsidR="007C339B" w:rsidRPr="00E74E44">
        <w:rPr>
          <w:rFonts w:ascii="TH SarabunPSK" w:hAnsi="TH SarabunPSK" w:cs="TH SarabunPSK"/>
          <w:b/>
          <w:sz w:val="24"/>
          <w:szCs w:val="24"/>
        </w:rPr>
        <w:t xml:space="preserve">Corresponding Author E-mail: </w:t>
      </w:r>
      <w:r w:rsidR="00175A1E" w:rsidRPr="00E74E44">
        <w:rPr>
          <w:rFonts w:ascii="TH SarabunPSK" w:hAnsi="TH SarabunPSK" w:cs="TH SarabunPSK"/>
          <w:b/>
          <w:sz w:val="24"/>
          <w:szCs w:val="24"/>
        </w:rPr>
        <w:t>s67567814020@ssru.ac.th</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4"/>
      </w:tblGrid>
      <w:tr w:rsidR="00F15A28" w:rsidRPr="00E74E44" w14:paraId="1159F9D2" w14:textId="77777777" w:rsidTr="00F12686">
        <w:tc>
          <w:tcPr>
            <w:tcW w:w="9204" w:type="dxa"/>
          </w:tcPr>
          <w:p w14:paraId="62B33DE2" w14:textId="55C7A8BB" w:rsidR="00F12686" w:rsidRPr="00E74E44" w:rsidRDefault="009102F3" w:rsidP="008F4417">
            <w:pPr>
              <w:tabs>
                <w:tab w:val="center" w:pos="4873"/>
                <w:tab w:val="right" w:pos="9746"/>
              </w:tabs>
              <w:ind w:firstLine="0"/>
              <w:jc w:val="center"/>
              <w:rPr>
                <w:rFonts w:ascii="TH SarabunPSK" w:hAnsi="TH SarabunPSK" w:cs="TH SarabunPSK"/>
                <w:sz w:val="32"/>
                <w:szCs w:val="32"/>
              </w:rPr>
            </w:pPr>
            <w:r w:rsidRPr="00E74E44">
              <w:rPr>
                <w:rFonts w:ascii="TH SarabunPSK" w:hAnsi="TH SarabunPSK" w:cs="TH SarabunPSK"/>
                <w:color w:val="000000" w:themeColor="text1"/>
                <w:sz w:val="32"/>
                <w:szCs w:val="32"/>
              </w:rPr>
              <w:t>Received: May 2</w:t>
            </w:r>
            <w:r w:rsidRPr="00E74E44">
              <w:rPr>
                <w:rFonts w:ascii="TH SarabunPSK" w:hAnsi="TH SarabunPSK" w:cs="TH SarabunPSK"/>
                <w:color w:val="000000" w:themeColor="text1"/>
                <w:sz w:val="32"/>
                <w:szCs w:val="32"/>
              </w:rPr>
              <w:t>6</w:t>
            </w:r>
            <w:r w:rsidRPr="00E74E44">
              <w:rPr>
                <w:rFonts w:ascii="TH SarabunPSK" w:hAnsi="TH SarabunPSK" w:cs="TH SarabunPSK"/>
                <w:color w:val="000000" w:themeColor="text1"/>
                <w:sz w:val="32"/>
                <w:szCs w:val="32"/>
              </w:rPr>
              <w:t>, 2026; Revised: July 04, 2026; Accepted: August 16, 2026</w:t>
            </w:r>
          </w:p>
        </w:tc>
      </w:tr>
    </w:tbl>
    <w:p w14:paraId="5049A190" w14:textId="42FF149D" w:rsidR="00F941E9" w:rsidRPr="00E74E44" w:rsidRDefault="00131797" w:rsidP="00F941E9">
      <w:pPr>
        <w:tabs>
          <w:tab w:val="left" w:pos="993"/>
        </w:tabs>
        <w:autoSpaceDE w:val="0"/>
        <w:autoSpaceDN w:val="0"/>
        <w:adjustRightInd w:val="0"/>
        <w:spacing w:before="100" w:beforeAutospacing="1" w:after="100" w:afterAutospacing="1"/>
        <w:ind w:firstLine="0"/>
        <w:jc w:val="left"/>
        <w:rPr>
          <w:rFonts w:ascii="TH SarabunPSK" w:eastAsia="SimSun" w:hAnsi="TH SarabunPSK" w:cs="TH SarabunPSK"/>
          <w:b/>
          <w:bCs/>
          <w:kern w:val="0"/>
          <w:sz w:val="32"/>
          <w:szCs w:val="32"/>
          <w:lang w:eastAsia="zh-CN"/>
          <w14:ligatures w14:val="none"/>
        </w:rPr>
      </w:pPr>
      <w:r w:rsidRPr="00E74E44">
        <w:rPr>
          <w:rFonts w:ascii="TH SarabunPSK" w:eastAsia="SimSun" w:hAnsi="TH SarabunPSK" w:cs="TH SarabunPSK"/>
          <w:b/>
          <w:bCs/>
          <w:kern w:val="0"/>
          <w:sz w:val="32"/>
          <w:szCs w:val="32"/>
          <w:lang w:eastAsia="zh-CN"/>
          <w14:ligatures w14:val="none"/>
        </w:rPr>
        <w:t>Abstract</w:t>
      </w:r>
    </w:p>
    <w:p w14:paraId="74A6A6C1" w14:textId="69C48AF2" w:rsidR="00445272" w:rsidRPr="00E74E44" w:rsidRDefault="00445272" w:rsidP="00445272">
      <w:pPr>
        <w:ind w:right="12"/>
        <w:rPr>
          <w:rFonts w:ascii="TH SarabunPSK" w:hAnsi="TH SarabunPSK" w:cs="TH SarabunPSK"/>
          <w:sz w:val="32"/>
          <w:szCs w:val="32"/>
        </w:rPr>
      </w:pPr>
      <w:r w:rsidRPr="00E74E44">
        <w:rPr>
          <w:rFonts w:ascii="TH SarabunPSK" w:hAnsi="TH SarabunPSK" w:cs="TH SarabunPSK"/>
          <w:sz w:val="32"/>
          <w:szCs w:val="32"/>
        </w:rPr>
        <w:t>This study aims to identify the key components of value creation within the e-sports business sector and to develop an approach to value creation that supports sustainable competitiveness in the e-sports industry. The study examines the structural and operational characteristics of the e-sports industry, with particular emphasis on the roles of technology, human skills, organizational capabilities, and strategic management in enhancing business competitiveness. A quantitative research methodology was employed. The study population comprised entrepreneurs and executives operating e-sports businesses, from which a sample of 300 participants was selected. Data were collected using a structured questionnaire and analyzed using descriptive statistics and structural equation modeling (SEM) to examine the hypothesized relationships among the study variables.</w:t>
      </w:r>
    </w:p>
    <w:p w14:paraId="1721EE7D" w14:textId="77777777" w:rsidR="00445272" w:rsidRPr="00E74E44" w:rsidRDefault="00445272" w:rsidP="00445272">
      <w:pPr>
        <w:ind w:right="12"/>
        <w:rPr>
          <w:rFonts w:ascii="TH SarabunPSK" w:hAnsi="TH SarabunPSK" w:cs="TH SarabunPSK"/>
          <w:b/>
          <w:sz w:val="32"/>
          <w:szCs w:val="32"/>
        </w:rPr>
      </w:pPr>
      <w:r w:rsidRPr="00E74E44">
        <w:rPr>
          <w:rFonts w:ascii="TH SarabunPSK" w:hAnsi="TH SarabunPSK" w:cs="TH SarabunPSK"/>
          <w:sz w:val="32"/>
          <w:szCs w:val="32"/>
        </w:rPr>
        <w:t xml:space="preserve">The findings indicate that effective value creation in the e-sports industry consists of four key approaches: effective information technology utilization, organizational management, innovation management, and market-oriented management. These approaches contribute to the development of organizational capabilities and enable businesses to respond more effectively to the rapidly evolving e-sports environment. Furthermore, the analysis of </w:t>
      </w:r>
      <w:r w:rsidRPr="00E74E44">
        <w:rPr>
          <w:rFonts w:ascii="TH SarabunPSK" w:hAnsi="TH SarabunPSK" w:cs="TH SarabunPSK"/>
          <w:sz w:val="32"/>
          <w:szCs w:val="32"/>
        </w:rPr>
        <w:lastRenderedPageBreak/>
        <w:t>differences by business size revealed that large e-sports organizations placed significantly greater emphasis on these value-creation approaches than small and medium-sized enterprises (SMEs), with statistically significant differences at the 0.05 level. The structural equation model further demonstrated that effective strategies for developing technological capabilities, human skills, and organizational capabilities are significant factors in achieving sustainable competitiveness. Overall, the findings provide a comprehensive framework for e-sports entrepreneurs and executives to strengthen organizational capabilities, enhance value creation, and develop sustainable competitive advantages in the rapidly evolving e-sports industry.</w:t>
      </w:r>
    </w:p>
    <w:p w14:paraId="7B30BD97" w14:textId="27BCF579" w:rsidR="00F052B7" w:rsidRPr="00E74E44" w:rsidRDefault="009156D0" w:rsidP="00445272">
      <w:pPr>
        <w:ind w:right="12" w:firstLine="0"/>
        <w:rPr>
          <w:rFonts w:ascii="TH SarabunPSK" w:hAnsi="TH SarabunPSK" w:cs="TH SarabunPSK"/>
          <w:sz w:val="32"/>
          <w:szCs w:val="32"/>
        </w:rPr>
      </w:pPr>
      <w:r w:rsidRPr="00E74E44">
        <w:rPr>
          <w:rFonts w:ascii="TH SarabunPSK" w:hAnsi="TH SarabunPSK" w:cs="TH SarabunPSK"/>
          <w:b/>
          <w:sz w:val="32"/>
          <w:szCs w:val="32"/>
        </w:rPr>
        <w:t xml:space="preserve">Keywords: </w:t>
      </w:r>
      <w:r w:rsidR="00F941E9" w:rsidRPr="00E74E44">
        <w:rPr>
          <w:rFonts w:ascii="TH SarabunPSK" w:hAnsi="TH SarabunPSK" w:cs="TH SarabunPSK"/>
          <w:sz w:val="32"/>
          <w:szCs w:val="32"/>
        </w:rPr>
        <w:t>Competitive Advantage, Technology Industrial, Skills, Esports Business</w:t>
      </w:r>
    </w:p>
    <w:p w14:paraId="7E9641F8" w14:textId="26D06532" w:rsidR="00445272" w:rsidRPr="00E74E44" w:rsidRDefault="009156D0" w:rsidP="00445272">
      <w:pPr>
        <w:spacing w:before="100" w:beforeAutospacing="1" w:after="100" w:afterAutospacing="1" w:line="259" w:lineRule="auto"/>
        <w:ind w:firstLine="0"/>
        <w:jc w:val="left"/>
        <w:rPr>
          <w:rFonts w:ascii="TH SarabunPSK" w:hAnsi="TH SarabunPSK" w:cs="TH SarabunPSK"/>
          <w:b/>
          <w:bCs/>
          <w:sz w:val="32"/>
          <w:szCs w:val="32"/>
        </w:rPr>
      </w:pPr>
      <w:r w:rsidRPr="00E74E44">
        <w:rPr>
          <w:rFonts w:ascii="TH SarabunPSK" w:hAnsi="TH SarabunPSK" w:cs="TH SarabunPSK"/>
          <w:b/>
          <w:bCs/>
          <w:sz w:val="32"/>
          <w:szCs w:val="32"/>
        </w:rPr>
        <w:t xml:space="preserve">Introduction </w:t>
      </w:r>
    </w:p>
    <w:p w14:paraId="4BFE6E06" w14:textId="3A349D1E" w:rsidR="00445272" w:rsidRPr="00E74E44" w:rsidRDefault="00445272" w:rsidP="00445272">
      <w:pPr>
        <w:spacing w:line="259" w:lineRule="auto"/>
        <w:rPr>
          <w:rFonts w:ascii="TH SarabunPSK" w:hAnsi="TH SarabunPSK" w:cs="TH SarabunPSK"/>
          <w:sz w:val="32"/>
          <w:szCs w:val="32"/>
        </w:rPr>
      </w:pPr>
      <w:r w:rsidRPr="00E74E44">
        <w:rPr>
          <w:rFonts w:ascii="TH SarabunPSK" w:hAnsi="TH SarabunPSK" w:cs="TH SarabunPSK"/>
          <w:sz w:val="32"/>
          <w:szCs w:val="32"/>
        </w:rPr>
        <w:t>The esports industry is rapidly evolving, making continuous innovation essential for organizations seeking to remain competitive and sustainable. As esports grows in popularity, organizations must adapt to emerging technologies, changing consumer preferences, and increasing competition (Allal-Chérif et al., 2024). Innovation involves not only technological advancement but also the development of skilled human resources capable of using technology effectively (Babin et al., 2024).</w:t>
      </w:r>
      <w:r w:rsidRPr="00E74E44">
        <w:rPr>
          <w:rFonts w:ascii="TH SarabunPSK" w:hAnsi="TH SarabunPSK" w:cs="TH SarabunPSK"/>
          <w:sz w:val="32"/>
          <w:szCs w:val="32"/>
        </w:rPr>
        <w:t xml:space="preserve"> </w:t>
      </w:r>
      <w:r w:rsidRPr="00E74E44">
        <w:rPr>
          <w:rFonts w:ascii="TH SarabunPSK" w:hAnsi="TH SarabunPSK" w:cs="TH SarabunPSK"/>
          <w:sz w:val="32"/>
          <w:szCs w:val="32"/>
        </w:rPr>
        <w:t>Technology plays an important role in creating value within esports. Real-time data analytics allow teams to evaluate player performance, identify opponents’ strategies, and improve decision-making (Chen &amp; Wu, 2024; Jordan-Vallverdú et al., 2024). Data can also support player well-being by monitoring physical and mental performance (Ke &amp; Wagner, 2024). Therefore, the combination of technology and professional skills is increasingly important for sustainable competitive performance.</w:t>
      </w:r>
      <w:r w:rsidRPr="00E74E44">
        <w:rPr>
          <w:rFonts w:ascii="TH SarabunPSK" w:hAnsi="TH SarabunPSK" w:cs="TH SarabunPSK"/>
          <w:sz w:val="32"/>
          <w:szCs w:val="32"/>
        </w:rPr>
        <w:t xml:space="preserve"> </w:t>
      </w:r>
      <w:r w:rsidRPr="00E74E44">
        <w:rPr>
          <w:rFonts w:ascii="TH SarabunPSK" w:hAnsi="TH SarabunPSK" w:cs="TH SarabunPSK"/>
          <w:sz w:val="32"/>
          <w:szCs w:val="32"/>
        </w:rPr>
        <w:t>Emerging technologies such as Artificial Intelligence (AI), Machine Learning (ML), blockchain, and Non-Fungible Tokens (NFTs) are further transforming the esports ecosystem. AI and ML can support performance analysis, cheating detection, matchmaking, and personalized fan engagement (</w:t>
      </w:r>
      <w:proofErr w:type="spellStart"/>
      <w:r w:rsidRPr="00E74E44">
        <w:rPr>
          <w:rFonts w:ascii="TH SarabunPSK" w:hAnsi="TH SarabunPSK" w:cs="TH SarabunPSK"/>
          <w:sz w:val="32"/>
          <w:szCs w:val="32"/>
        </w:rPr>
        <w:t>Chanias</w:t>
      </w:r>
      <w:proofErr w:type="spellEnd"/>
      <w:r w:rsidRPr="00E74E44">
        <w:rPr>
          <w:rFonts w:ascii="TH SarabunPSK" w:hAnsi="TH SarabunPSK" w:cs="TH SarabunPSK"/>
          <w:sz w:val="32"/>
          <w:szCs w:val="32"/>
        </w:rPr>
        <w:t xml:space="preserve"> et al., 2019). Meanwhile, blockchain and NFTs provide opportunities for digital ownership, fan engagement, and new revenue streams (Mancı et al., 2024).</w:t>
      </w:r>
      <w:r w:rsidRPr="00E74E44">
        <w:rPr>
          <w:rFonts w:ascii="TH SarabunPSK" w:hAnsi="TH SarabunPSK" w:cs="TH SarabunPSK"/>
          <w:sz w:val="32"/>
          <w:szCs w:val="32"/>
        </w:rPr>
        <w:t xml:space="preserve"> </w:t>
      </w:r>
      <w:r w:rsidRPr="00E74E44">
        <w:rPr>
          <w:rFonts w:ascii="TH SarabunPSK" w:hAnsi="TH SarabunPSK" w:cs="TH SarabunPSK"/>
          <w:sz w:val="32"/>
          <w:szCs w:val="32"/>
        </w:rPr>
        <w:t xml:space="preserve">Despite growing research on technological innovation in esports, there remains a gap in understanding how technology and human capital </w:t>
      </w:r>
      <w:r w:rsidRPr="00E74E44">
        <w:rPr>
          <w:rFonts w:ascii="TH SarabunPSK" w:hAnsi="TH SarabunPSK" w:cs="TH SarabunPSK"/>
          <w:sz w:val="32"/>
          <w:szCs w:val="32"/>
        </w:rPr>
        <w:lastRenderedPageBreak/>
        <w:t>can be integrated to create sustainable competitive advantage. Existing studies often focus on individual technologies or specific performance outcomes rather than the broader relationship between innovation, workforce capabilities, value creation, and organizational sustainability.</w:t>
      </w:r>
    </w:p>
    <w:p w14:paraId="7F7799E2" w14:textId="2A5768BE" w:rsidR="00445272" w:rsidRPr="00E74E44" w:rsidRDefault="00445272" w:rsidP="00445272">
      <w:pPr>
        <w:spacing w:line="259" w:lineRule="auto"/>
        <w:rPr>
          <w:rFonts w:ascii="TH SarabunPSK" w:hAnsi="TH SarabunPSK" w:cs="TH SarabunPSK"/>
          <w:b/>
          <w:bCs/>
          <w:sz w:val="32"/>
          <w:szCs w:val="32"/>
        </w:rPr>
      </w:pPr>
      <w:r w:rsidRPr="00E74E44">
        <w:rPr>
          <w:rFonts w:ascii="TH SarabunPSK" w:hAnsi="TH SarabunPSK" w:cs="TH SarabunPSK"/>
          <w:sz w:val="32"/>
          <w:szCs w:val="32"/>
        </w:rPr>
        <w:t>Therefore, this study is significant because it examines how esports organizations can combine technological innovation with human capabilities to improve competitiveness and create sustainable value. The findings may provide useful insights for esports organizations and industry stakeholders seeking to adapt to the rapidly changing global esports environment.</w:t>
      </w:r>
    </w:p>
    <w:p w14:paraId="7B2493F4" w14:textId="6FD8F228" w:rsidR="00D44A48" w:rsidRPr="00E74E44" w:rsidRDefault="00D44A48" w:rsidP="00E8540C">
      <w:pPr>
        <w:spacing w:before="100" w:beforeAutospacing="1" w:after="100" w:afterAutospacing="1" w:line="259" w:lineRule="auto"/>
        <w:ind w:firstLine="0"/>
        <w:rPr>
          <w:rFonts w:ascii="TH SarabunPSK" w:hAnsi="TH SarabunPSK" w:cs="TH SarabunPSK"/>
          <w:b/>
          <w:bCs/>
          <w:sz w:val="32"/>
          <w:szCs w:val="32"/>
        </w:rPr>
      </w:pPr>
      <w:r w:rsidRPr="00E74E44">
        <w:rPr>
          <w:rFonts w:ascii="TH SarabunPSK" w:hAnsi="TH SarabunPSK" w:cs="TH SarabunPSK"/>
          <w:b/>
          <w:bCs/>
          <w:sz w:val="32"/>
          <w:szCs w:val="32"/>
        </w:rPr>
        <w:t>Objective</w:t>
      </w:r>
    </w:p>
    <w:p w14:paraId="65AD90B5" w14:textId="62F335FA" w:rsidR="00F941E9" w:rsidRPr="00E74E44" w:rsidRDefault="00F941E9" w:rsidP="00F941E9">
      <w:pPr>
        <w:spacing w:line="259" w:lineRule="auto"/>
        <w:rPr>
          <w:rFonts w:ascii="TH SarabunPSK" w:hAnsi="TH SarabunPSK" w:cs="TH SarabunPSK"/>
          <w:sz w:val="32"/>
          <w:szCs w:val="32"/>
        </w:rPr>
      </w:pPr>
      <w:r w:rsidRPr="00E74E44">
        <w:rPr>
          <w:rFonts w:ascii="TH SarabunPSK" w:hAnsi="TH SarabunPSK" w:cs="TH SarabunPSK"/>
          <w:sz w:val="32"/>
          <w:szCs w:val="32"/>
        </w:rPr>
        <w:t>1. Identifying the key components necessary for experts in the e-sports business sector to enhance value creation.</w:t>
      </w:r>
    </w:p>
    <w:p w14:paraId="69578F81" w14:textId="40B2F76D" w:rsidR="00F941E9" w:rsidRPr="00E74E44" w:rsidRDefault="00F941E9" w:rsidP="00F941E9">
      <w:pPr>
        <w:spacing w:line="259" w:lineRule="auto"/>
        <w:rPr>
          <w:rFonts w:ascii="TH SarabunPSK" w:hAnsi="TH SarabunPSK" w:cs="TH SarabunPSK"/>
          <w:b/>
          <w:bCs/>
          <w:sz w:val="32"/>
          <w:szCs w:val="32"/>
        </w:rPr>
      </w:pPr>
      <w:r w:rsidRPr="00E74E44">
        <w:rPr>
          <w:rFonts w:ascii="TH SarabunPSK" w:hAnsi="TH SarabunPSK" w:cs="TH SarabunPSK"/>
          <w:sz w:val="32"/>
          <w:szCs w:val="32"/>
        </w:rPr>
        <w:t>2. Developing model for the approach to value creation for sustainable competition in the e-sports industry.</w:t>
      </w:r>
    </w:p>
    <w:p w14:paraId="6FCC376A" w14:textId="361AF4A8" w:rsidR="0068737F" w:rsidRPr="00E74E44" w:rsidRDefault="008D64EF" w:rsidP="00F941E9">
      <w:pPr>
        <w:spacing w:before="100" w:beforeAutospacing="1" w:after="100" w:afterAutospacing="1" w:line="259" w:lineRule="auto"/>
        <w:ind w:firstLine="0"/>
        <w:rPr>
          <w:rFonts w:ascii="TH SarabunPSK" w:hAnsi="TH SarabunPSK" w:cs="TH SarabunPSK"/>
          <w:b/>
          <w:bCs/>
          <w:sz w:val="32"/>
          <w:szCs w:val="32"/>
        </w:rPr>
      </w:pPr>
      <w:r w:rsidRPr="00E74E44">
        <w:rPr>
          <w:rFonts w:ascii="TH SarabunPSK" w:hAnsi="TH SarabunPSK" w:cs="TH SarabunPSK"/>
          <w:b/>
          <w:bCs/>
          <w:sz w:val="32"/>
          <w:szCs w:val="32"/>
        </w:rPr>
        <w:t xml:space="preserve">Literature Review </w:t>
      </w:r>
    </w:p>
    <w:p w14:paraId="04F18AA5" w14:textId="6A6C7564" w:rsidR="00445272" w:rsidRPr="00E74E44" w:rsidRDefault="00445272" w:rsidP="00445272">
      <w:pPr>
        <w:spacing w:before="100" w:beforeAutospacing="1" w:after="100" w:afterAutospacing="1" w:line="259" w:lineRule="auto"/>
        <w:rPr>
          <w:rFonts w:ascii="TH SarabunPSK" w:hAnsi="TH SarabunPSK" w:cs="TH SarabunPSK"/>
          <w:b/>
          <w:bCs/>
          <w:sz w:val="32"/>
          <w:szCs w:val="32"/>
        </w:rPr>
      </w:pPr>
      <w:r w:rsidRPr="00E74E44">
        <w:rPr>
          <w:rFonts w:ascii="TH SarabunPSK" w:hAnsi="TH SarabunPSK" w:cs="TH SarabunPSK"/>
          <w:b/>
          <w:bCs/>
          <w:sz w:val="32"/>
          <w:szCs w:val="32"/>
        </w:rPr>
        <w:t>Value Creation and Sustainable Competition in the Esports Industry</w:t>
      </w:r>
    </w:p>
    <w:p w14:paraId="2D966E22" w14:textId="5DE0652D" w:rsidR="00445272" w:rsidRPr="00E74E44" w:rsidRDefault="00445272" w:rsidP="00445272">
      <w:pPr>
        <w:spacing w:line="259" w:lineRule="auto"/>
        <w:rPr>
          <w:rFonts w:ascii="TH SarabunPSK" w:hAnsi="TH SarabunPSK" w:cs="TH SarabunPSK"/>
          <w:sz w:val="32"/>
          <w:szCs w:val="32"/>
        </w:rPr>
      </w:pPr>
      <w:r w:rsidRPr="00E74E44">
        <w:rPr>
          <w:rFonts w:ascii="TH SarabunPSK" w:hAnsi="TH SarabunPSK" w:cs="TH SarabunPSK"/>
          <w:sz w:val="32"/>
          <w:szCs w:val="32"/>
        </w:rPr>
        <w:t>The rapid growth of esports has transformed competitive gaming into a global industry involving a diverse range of stakeholders, including players, teams, coaches, sponsors, game developers, media organizations, and technology providers. In this increasingly competitive environment, achieving sustainable competitiveness requires esports organizations to create value beyond tournament performance. In particular, long-term success depends on the development of skilled professionals, effective organizational management, technological capabilities, and strong relationships with key stakeholders.</w:t>
      </w:r>
    </w:p>
    <w:p w14:paraId="072DAD99" w14:textId="758413D3" w:rsidR="00445272" w:rsidRPr="00E74E44" w:rsidRDefault="00445272" w:rsidP="00445272">
      <w:pPr>
        <w:spacing w:line="259" w:lineRule="auto"/>
        <w:rPr>
          <w:rFonts w:ascii="TH SarabunPSK" w:hAnsi="TH SarabunPSK" w:cs="TH SarabunPSK"/>
          <w:sz w:val="32"/>
          <w:szCs w:val="32"/>
        </w:rPr>
      </w:pPr>
      <w:r w:rsidRPr="00E74E44">
        <w:rPr>
          <w:rFonts w:ascii="TH SarabunPSK" w:hAnsi="TH SarabunPSK" w:cs="TH SarabunPSK"/>
          <w:sz w:val="32"/>
          <w:szCs w:val="32"/>
        </w:rPr>
        <w:t xml:space="preserve">A fundamental component of value creation is the development of essential skills and competencies among esports professionals. First, technical competencies are critical for mastering game mechanics and effectively utilizing gaming hardware, software, and analytical tools. Esports professionals must possess an in-depth understanding of their respective games </w:t>
      </w:r>
      <w:r w:rsidRPr="00E74E44">
        <w:rPr>
          <w:rFonts w:ascii="TH SarabunPSK" w:hAnsi="TH SarabunPSK" w:cs="TH SarabunPSK"/>
          <w:sz w:val="32"/>
          <w:szCs w:val="32"/>
        </w:rPr>
        <w:lastRenderedPageBreak/>
        <w:t>while maintaining the ability to adapt rapidly to technological developments and changes within the competitive environment. Second, strategic thinking and knowledge of game theory enable players, coaches, and analysts to formulate effective strategies, anticipate opponents’ actions, allocate resources efficiently, and respond appropriately to dynamic in-game situations (Baptista et al., 2020).</w:t>
      </w:r>
    </w:p>
    <w:p w14:paraId="2E2372A4" w14:textId="45AC13E5" w:rsidR="00445272" w:rsidRPr="00E74E44" w:rsidRDefault="00445272" w:rsidP="00445272">
      <w:pPr>
        <w:spacing w:line="259" w:lineRule="auto"/>
        <w:rPr>
          <w:rFonts w:ascii="TH SarabunPSK" w:hAnsi="TH SarabunPSK" w:cs="TH SarabunPSK"/>
          <w:sz w:val="32"/>
          <w:szCs w:val="32"/>
        </w:rPr>
      </w:pPr>
      <w:r w:rsidRPr="00E74E44">
        <w:rPr>
          <w:rFonts w:ascii="TH SarabunPSK" w:hAnsi="TH SarabunPSK" w:cs="TH SarabunPSK"/>
          <w:sz w:val="32"/>
          <w:szCs w:val="32"/>
        </w:rPr>
        <w:t>Third, communication and teamwork are essential to esports performance because competitive success frequently depends on effective coordination among team members. Players must communicate clearly, establish mutual trust, and adapt their roles and strategies in response to changing circumstances. Strong interpersonal and communication skills can also facilitate more effective relationships among players, coaches, managers, and other members of the organization (Ginting et al., 2020). Fourth, leadership and management competencies are important for motivating players, resolving conflicts, making effective decisions under pressure, and fostering a positive organizational culture. In addition to managing team performance, esports managers are required to coordinate a range of business activities, including sponsorship management, marketing, financial planning, and player development.</w:t>
      </w:r>
    </w:p>
    <w:p w14:paraId="78357D4D" w14:textId="037BB292" w:rsidR="00445272" w:rsidRPr="00E74E44" w:rsidRDefault="00445272" w:rsidP="00445272">
      <w:pPr>
        <w:spacing w:line="259" w:lineRule="auto"/>
        <w:rPr>
          <w:rFonts w:ascii="TH SarabunPSK" w:hAnsi="TH SarabunPSK" w:cs="TH SarabunPSK"/>
          <w:sz w:val="32"/>
          <w:szCs w:val="32"/>
        </w:rPr>
      </w:pPr>
      <w:r w:rsidRPr="00E74E44">
        <w:rPr>
          <w:rFonts w:ascii="TH SarabunPSK" w:hAnsi="TH SarabunPSK" w:cs="TH SarabunPSK"/>
          <w:sz w:val="32"/>
          <w:szCs w:val="32"/>
        </w:rPr>
        <w:t>Building on these competencies, a value-creation model for sustainable competition in esports can be conceptualized through five interconnected elements: capability development, strategic integration, stakeholder engagement, value creation, and continuous adaptation. Capability development emphasizes the systematic training and enhancement of professional competencies. Strategic integration involves combining human expertise with technological capabilities and organizational resources to improve both competitive and operational performance. Stakeholder engagement focuses on developing and maintaining meaningful relationships with key stakeholders, including fans, sponsors, players, game publishers, and other industry partners. Value creation encompasses multiple dimensions of organizational performance, including competitive achievement, financial performance, brand development, fan loyalty, and player development. Finally, continuous adaptation enables esports organizations to respond effectively to technological advancements, the emergence of new games, changes in audience preferences, and intensifying market competition.</w:t>
      </w:r>
    </w:p>
    <w:p w14:paraId="70A19FC8" w14:textId="77777777" w:rsidR="00445272" w:rsidRPr="00E74E44" w:rsidRDefault="00445272" w:rsidP="00445272">
      <w:pPr>
        <w:spacing w:line="259" w:lineRule="auto"/>
        <w:rPr>
          <w:rFonts w:ascii="TH SarabunPSK" w:hAnsi="TH SarabunPSK" w:cs="TH SarabunPSK"/>
          <w:sz w:val="32"/>
          <w:szCs w:val="32"/>
        </w:rPr>
      </w:pPr>
      <w:r w:rsidRPr="00E74E44">
        <w:rPr>
          <w:rFonts w:ascii="TH SarabunPSK" w:hAnsi="TH SarabunPSK" w:cs="TH SarabunPSK"/>
          <w:sz w:val="32"/>
          <w:szCs w:val="32"/>
        </w:rPr>
        <w:lastRenderedPageBreak/>
        <w:t>In conclusion, sustainable competitiveness in the esports industry depends on considerably more than technological advancement alone. It requires the integration of technical expertise, strategic thinking, teamwork, leadership, and business capabilities within a dynamic organizational environment. By continuously developing these competencies and integrating them with technology, organizational strategy, and stakeholder relationships, esports organizations can strengthen their capacity to create long-term value and sustain a competitive advantage in an increasingly dynamic and competitive industry.</w:t>
      </w:r>
    </w:p>
    <w:p w14:paraId="6A46BBD3" w14:textId="36803C9A" w:rsidR="0068737F" w:rsidRPr="00E74E44" w:rsidRDefault="00AA1905" w:rsidP="00445272">
      <w:pPr>
        <w:spacing w:before="100" w:beforeAutospacing="1" w:after="100" w:afterAutospacing="1" w:line="259" w:lineRule="auto"/>
        <w:ind w:firstLine="0"/>
        <w:rPr>
          <w:rFonts w:ascii="TH SarabunPSK" w:hAnsi="TH SarabunPSK" w:cs="TH SarabunPSK"/>
          <w:b/>
          <w:bCs/>
          <w:sz w:val="32"/>
          <w:szCs w:val="32"/>
        </w:rPr>
      </w:pPr>
      <w:r w:rsidRPr="00E74E44">
        <w:rPr>
          <w:rFonts w:ascii="TH SarabunPSK" w:hAnsi="TH SarabunPSK" w:cs="TH SarabunPSK"/>
          <w:b/>
          <w:bCs/>
          <w:sz w:val="32"/>
          <w:szCs w:val="32"/>
        </w:rPr>
        <w:t>Research Methodology</w:t>
      </w:r>
    </w:p>
    <w:p w14:paraId="751F6F39" w14:textId="2DA492D8" w:rsidR="00300FCD" w:rsidRPr="00E74E44" w:rsidRDefault="00300FCD" w:rsidP="00300FCD">
      <w:pPr>
        <w:spacing w:before="100" w:beforeAutospacing="1" w:after="100" w:afterAutospacing="1" w:line="259" w:lineRule="auto"/>
        <w:rPr>
          <w:rFonts w:ascii="TH SarabunPSK" w:hAnsi="TH SarabunPSK" w:cs="TH SarabunPSK"/>
          <w:b/>
          <w:bCs/>
          <w:sz w:val="32"/>
          <w:szCs w:val="32"/>
        </w:rPr>
      </w:pPr>
      <w:r w:rsidRPr="00E74E44">
        <w:rPr>
          <w:rFonts w:ascii="TH SarabunPSK" w:hAnsi="TH SarabunPSK" w:cs="TH SarabunPSK"/>
          <w:b/>
          <w:bCs/>
          <w:sz w:val="32"/>
          <w:szCs w:val="32"/>
        </w:rPr>
        <w:t>Research Type and Design</w:t>
      </w:r>
    </w:p>
    <w:p w14:paraId="23EFBBFF" w14:textId="66F98B79" w:rsidR="00300FCD" w:rsidRPr="00E74E44" w:rsidRDefault="00300FCD" w:rsidP="00445272">
      <w:pPr>
        <w:spacing w:before="100" w:beforeAutospacing="1" w:after="100" w:afterAutospacing="1" w:line="259" w:lineRule="auto"/>
        <w:rPr>
          <w:rFonts w:ascii="TH SarabunPSK" w:hAnsi="TH SarabunPSK" w:cs="TH SarabunPSK"/>
          <w:sz w:val="32"/>
          <w:szCs w:val="32"/>
        </w:rPr>
      </w:pPr>
      <w:r w:rsidRPr="00E74E44">
        <w:rPr>
          <w:rFonts w:ascii="TH SarabunPSK" w:hAnsi="TH SarabunPSK" w:cs="TH SarabunPSK"/>
          <w:sz w:val="32"/>
          <w:szCs w:val="32"/>
        </w:rPr>
        <w:t>This study employed a quantitative, cross-sectional survey design to examine technological advancements, competencies, and sustainable competition among esports and technology-driven businesses in Thailand.</w:t>
      </w:r>
    </w:p>
    <w:p w14:paraId="50149665" w14:textId="3F0BFA75" w:rsidR="00300FCD" w:rsidRPr="00E74E44" w:rsidRDefault="00300FCD" w:rsidP="00300FCD">
      <w:pPr>
        <w:spacing w:before="100" w:beforeAutospacing="1" w:after="100" w:afterAutospacing="1" w:line="259" w:lineRule="auto"/>
        <w:rPr>
          <w:rFonts w:ascii="TH SarabunPSK" w:hAnsi="TH SarabunPSK" w:cs="TH SarabunPSK"/>
          <w:b/>
          <w:bCs/>
          <w:sz w:val="32"/>
          <w:szCs w:val="32"/>
        </w:rPr>
      </w:pPr>
      <w:r w:rsidRPr="00E74E44">
        <w:rPr>
          <w:rFonts w:ascii="TH SarabunPSK" w:hAnsi="TH SarabunPSK" w:cs="TH SarabunPSK"/>
          <w:b/>
          <w:bCs/>
          <w:sz w:val="32"/>
          <w:szCs w:val="32"/>
        </w:rPr>
        <w:t>Population and Sample</w:t>
      </w:r>
    </w:p>
    <w:p w14:paraId="1A928E73" w14:textId="499425A8" w:rsidR="00300FCD" w:rsidRPr="00E74E44" w:rsidRDefault="00300FCD" w:rsidP="00300FCD">
      <w:pPr>
        <w:spacing w:before="100" w:beforeAutospacing="1" w:after="100" w:afterAutospacing="1" w:line="259" w:lineRule="auto"/>
        <w:rPr>
          <w:rFonts w:ascii="TH SarabunPSK" w:hAnsi="TH SarabunPSK" w:cs="TH SarabunPSK"/>
          <w:sz w:val="32"/>
          <w:szCs w:val="32"/>
        </w:rPr>
      </w:pPr>
      <w:r w:rsidRPr="00E74E44">
        <w:rPr>
          <w:rFonts w:ascii="TH SarabunPSK" w:hAnsi="TH SarabunPSK" w:cs="TH SarabunPSK"/>
          <w:sz w:val="32"/>
          <w:szCs w:val="32"/>
        </w:rPr>
        <w:t>The population consisted of executives from 500 esports and technology-driven businesses registered in Thailand in 2024, categorized as large organizations and SMEs according to the Industry Ministerial Regulations, B.E. 2545. Using Taro Yamane’s (1973) formula at a 0.05 error margin, the required sample was 345. However, based on the recommended sample size for SEM by Barnes et al. (2012), 300 executives were selected: 150 from large organizations and 150 from SMEs.</w:t>
      </w:r>
    </w:p>
    <w:p w14:paraId="696EB3BD" w14:textId="5D958B65" w:rsidR="00300FCD" w:rsidRPr="00E74E44" w:rsidRDefault="00300FCD" w:rsidP="00300FCD">
      <w:pPr>
        <w:spacing w:before="100" w:beforeAutospacing="1" w:after="100" w:afterAutospacing="1" w:line="259" w:lineRule="auto"/>
        <w:rPr>
          <w:rFonts w:ascii="TH SarabunPSK" w:hAnsi="TH SarabunPSK" w:cs="TH SarabunPSK"/>
          <w:b/>
          <w:bCs/>
          <w:sz w:val="32"/>
          <w:szCs w:val="32"/>
        </w:rPr>
      </w:pPr>
      <w:r w:rsidRPr="00E74E44">
        <w:rPr>
          <w:rFonts w:ascii="TH SarabunPSK" w:hAnsi="TH SarabunPSK" w:cs="TH SarabunPSK"/>
          <w:b/>
          <w:bCs/>
          <w:sz w:val="32"/>
          <w:szCs w:val="32"/>
        </w:rPr>
        <w:t>Sampling Technique</w:t>
      </w:r>
    </w:p>
    <w:p w14:paraId="27F3018A" w14:textId="4D119994" w:rsidR="00300FCD" w:rsidRPr="00E74E44" w:rsidRDefault="00300FCD" w:rsidP="00300FCD">
      <w:pPr>
        <w:spacing w:before="100" w:beforeAutospacing="1" w:after="100" w:afterAutospacing="1" w:line="259" w:lineRule="auto"/>
        <w:rPr>
          <w:rFonts w:ascii="TH SarabunPSK" w:hAnsi="TH SarabunPSK" w:cs="TH SarabunPSK"/>
          <w:sz w:val="32"/>
          <w:szCs w:val="32"/>
        </w:rPr>
      </w:pPr>
      <w:r w:rsidRPr="00E74E44">
        <w:rPr>
          <w:rFonts w:ascii="TH SarabunPSK" w:hAnsi="TH SarabunPSK" w:cs="TH SarabunPSK"/>
          <w:sz w:val="32"/>
          <w:szCs w:val="32"/>
        </w:rPr>
        <w:t>A multi-stage sampling technique was used (Abraham et al., 2020) to select participants from the two business groups.</w:t>
      </w:r>
    </w:p>
    <w:p w14:paraId="5B9D1A5D" w14:textId="77777777" w:rsidR="00445272" w:rsidRPr="00E74E44" w:rsidRDefault="00445272" w:rsidP="00300FCD">
      <w:pPr>
        <w:spacing w:before="100" w:beforeAutospacing="1" w:after="100" w:afterAutospacing="1" w:line="259" w:lineRule="auto"/>
        <w:rPr>
          <w:rFonts w:ascii="TH SarabunPSK" w:hAnsi="TH SarabunPSK" w:cs="TH SarabunPSK"/>
          <w:sz w:val="32"/>
          <w:szCs w:val="32"/>
        </w:rPr>
      </w:pPr>
    </w:p>
    <w:p w14:paraId="7363681A" w14:textId="4F85D0CF" w:rsidR="00300FCD" w:rsidRPr="00E74E44" w:rsidRDefault="00300FCD" w:rsidP="00300FCD">
      <w:pPr>
        <w:spacing w:before="100" w:beforeAutospacing="1" w:after="100" w:afterAutospacing="1" w:line="259" w:lineRule="auto"/>
        <w:rPr>
          <w:rFonts w:ascii="TH SarabunPSK" w:hAnsi="TH SarabunPSK" w:cs="TH SarabunPSK"/>
          <w:b/>
          <w:bCs/>
          <w:sz w:val="32"/>
          <w:szCs w:val="32"/>
        </w:rPr>
      </w:pPr>
      <w:r w:rsidRPr="00E74E44">
        <w:rPr>
          <w:rFonts w:ascii="TH SarabunPSK" w:hAnsi="TH SarabunPSK" w:cs="TH SarabunPSK"/>
          <w:b/>
          <w:bCs/>
          <w:sz w:val="32"/>
          <w:szCs w:val="32"/>
        </w:rPr>
        <w:lastRenderedPageBreak/>
        <w:t>Research Instrument</w:t>
      </w:r>
    </w:p>
    <w:p w14:paraId="06A5B06F" w14:textId="5BA88690" w:rsidR="00300FCD" w:rsidRPr="00E74E44" w:rsidRDefault="00300FCD" w:rsidP="00300FCD">
      <w:pPr>
        <w:spacing w:before="100" w:beforeAutospacing="1" w:after="100" w:afterAutospacing="1" w:line="259" w:lineRule="auto"/>
        <w:rPr>
          <w:rFonts w:ascii="TH SarabunPSK" w:hAnsi="TH SarabunPSK" w:cs="TH SarabunPSK"/>
          <w:sz w:val="32"/>
          <w:szCs w:val="32"/>
        </w:rPr>
      </w:pPr>
      <w:r w:rsidRPr="00E74E44">
        <w:rPr>
          <w:rFonts w:ascii="TH SarabunPSK" w:hAnsi="TH SarabunPSK" w:cs="TH SarabunPSK"/>
          <w:sz w:val="32"/>
          <w:szCs w:val="32"/>
        </w:rPr>
        <w:t xml:space="preserve">Data were collected using a structured questionnaire developed from the frameworks of </w:t>
      </w:r>
      <w:proofErr w:type="spellStart"/>
      <w:r w:rsidRPr="00E74E44">
        <w:rPr>
          <w:rFonts w:ascii="TH SarabunPSK" w:hAnsi="TH SarabunPSK" w:cs="TH SarabunPSK"/>
          <w:sz w:val="32"/>
          <w:szCs w:val="32"/>
        </w:rPr>
        <w:t>Klarenberg</w:t>
      </w:r>
      <w:proofErr w:type="spellEnd"/>
      <w:r w:rsidRPr="00E74E44">
        <w:rPr>
          <w:rFonts w:ascii="TH SarabunPSK" w:hAnsi="TH SarabunPSK" w:cs="TH SarabunPSK"/>
          <w:sz w:val="32"/>
          <w:szCs w:val="32"/>
        </w:rPr>
        <w:t xml:space="preserve"> et al. (2022) and Verdugo et al. (2016). Content validity was assessed by three experts, producing IOC values of 0.70–1.00, exceeding the 0.50 criterion. A pilot test with 30 esports businesses produced a Cronbach’s alpha of 0.95, indicating high reliability.</w:t>
      </w:r>
    </w:p>
    <w:p w14:paraId="29114B50" w14:textId="73E1FF64" w:rsidR="00300FCD" w:rsidRPr="00E74E44" w:rsidRDefault="00300FCD" w:rsidP="00300FCD">
      <w:pPr>
        <w:spacing w:before="100" w:beforeAutospacing="1" w:after="100" w:afterAutospacing="1" w:line="259" w:lineRule="auto"/>
        <w:rPr>
          <w:rFonts w:ascii="TH SarabunPSK" w:hAnsi="TH SarabunPSK" w:cs="TH SarabunPSK"/>
          <w:b/>
          <w:bCs/>
          <w:sz w:val="32"/>
          <w:szCs w:val="32"/>
        </w:rPr>
      </w:pPr>
      <w:r w:rsidRPr="00E74E44">
        <w:rPr>
          <w:rFonts w:ascii="TH SarabunPSK" w:hAnsi="TH SarabunPSK" w:cs="TH SarabunPSK"/>
          <w:b/>
          <w:bCs/>
          <w:sz w:val="32"/>
          <w:szCs w:val="32"/>
        </w:rPr>
        <w:t>Data Collection Procedure</w:t>
      </w:r>
    </w:p>
    <w:p w14:paraId="17909743" w14:textId="3FBB70D7" w:rsidR="00300FCD" w:rsidRPr="00E74E44" w:rsidRDefault="00300FCD" w:rsidP="00300FCD">
      <w:pPr>
        <w:spacing w:before="100" w:beforeAutospacing="1" w:after="100" w:afterAutospacing="1" w:line="259" w:lineRule="auto"/>
        <w:rPr>
          <w:rFonts w:ascii="TH SarabunPSK" w:hAnsi="TH SarabunPSK" w:cs="TH SarabunPSK"/>
          <w:sz w:val="32"/>
          <w:szCs w:val="32"/>
        </w:rPr>
      </w:pPr>
      <w:r w:rsidRPr="00E74E44">
        <w:rPr>
          <w:rFonts w:ascii="TH SarabunPSK" w:hAnsi="TH SarabunPSK" w:cs="TH SarabunPSK"/>
          <w:sz w:val="32"/>
          <w:szCs w:val="32"/>
        </w:rPr>
        <w:t>After expert validation and reliability testing, the finalized questionnaires were distributed to the selected 300 executives. Completed questionnaires were checked, coded, and prepared for statistical analysis.</w:t>
      </w:r>
    </w:p>
    <w:p w14:paraId="3C1C747C" w14:textId="7943F92F" w:rsidR="00300FCD" w:rsidRPr="00E74E44" w:rsidRDefault="00300FCD" w:rsidP="00300FCD">
      <w:pPr>
        <w:spacing w:before="100" w:beforeAutospacing="1" w:after="100" w:afterAutospacing="1" w:line="259" w:lineRule="auto"/>
        <w:rPr>
          <w:rFonts w:ascii="TH SarabunPSK" w:hAnsi="TH SarabunPSK" w:cs="TH SarabunPSK"/>
          <w:b/>
          <w:bCs/>
          <w:sz w:val="32"/>
          <w:szCs w:val="32"/>
        </w:rPr>
      </w:pPr>
      <w:r w:rsidRPr="00E74E44">
        <w:rPr>
          <w:rFonts w:ascii="TH SarabunPSK" w:hAnsi="TH SarabunPSK" w:cs="TH SarabunPSK"/>
          <w:b/>
          <w:bCs/>
          <w:sz w:val="32"/>
          <w:szCs w:val="32"/>
        </w:rPr>
        <w:t>Data Analysis</w:t>
      </w:r>
    </w:p>
    <w:p w14:paraId="2D326D9F" w14:textId="77777777" w:rsidR="00300FCD" w:rsidRPr="00E74E44" w:rsidRDefault="00300FCD" w:rsidP="00300FCD">
      <w:pPr>
        <w:spacing w:before="100" w:beforeAutospacing="1" w:after="100" w:afterAutospacing="1" w:line="259" w:lineRule="auto"/>
        <w:rPr>
          <w:rFonts w:ascii="TH SarabunPSK" w:hAnsi="TH SarabunPSK" w:cs="TH SarabunPSK"/>
          <w:b/>
          <w:bCs/>
          <w:sz w:val="32"/>
          <w:szCs w:val="32"/>
        </w:rPr>
      </w:pPr>
      <w:r w:rsidRPr="00E74E44">
        <w:rPr>
          <w:rFonts w:ascii="TH SarabunPSK" w:hAnsi="TH SarabunPSK" w:cs="TH SarabunPSK"/>
          <w:sz w:val="32"/>
          <w:szCs w:val="32"/>
        </w:rPr>
        <w:t>Frequency and percentage were used for checklist items, while mean and standard deviation were used for estimation scales. Open-ended responses were analyzed using content analysis and frequency. An independent-samples t-test was used to compare large organizations and SMEs at the 0.05 significance level. Multivariate analysis and Structural Equation Modeling (SEM) using AMOS were employed to test the research hypotheses and relationships among the study variables.</w:t>
      </w:r>
    </w:p>
    <w:p w14:paraId="4038358C" w14:textId="605EBAD5" w:rsidR="00E917BC" w:rsidRPr="00E74E44" w:rsidRDefault="00D77A96" w:rsidP="00300FCD">
      <w:pPr>
        <w:spacing w:before="100" w:beforeAutospacing="1" w:after="100" w:afterAutospacing="1" w:line="259" w:lineRule="auto"/>
        <w:ind w:firstLine="0"/>
        <w:rPr>
          <w:rFonts w:ascii="TH SarabunPSK" w:hAnsi="TH SarabunPSK" w:cs="TH SarabunPSK"/>
          <w:b/>
          <w:bCs/>
          <w:sz w:val="32"/>
          <w:szCs w:val="32"/>
        </w:rPr>
      </w:pPr>
      <w:r w:rsidRPr="00E74E44">
        <w:rPr>
          <w:rFonts w:ascii="TH SarabunPSK" w:hAnsi="TH SarabunPSK" w:cs="TH SarabunPSK"/>
          <w:b/>
          <w:bCs/>
          <w:sz w:val="32"/>
          <w:szCs w:val="32"/>
        </w:rPr>
        <w:t>Results</w:t>
      </w:r>
    </w:p>
    <w:p w14:paraId="24FA489E" w14:textId="5AC7BB7B" w:rsidR="0068737F" w:rsidRPr="00E74E44" w:rsidRDefault="0068737F" w:rsidP="0068737F">
      <w:pPr>
        <w:widowControl w:val="0"/>
        <w:spacing w:before="100" w:beforeAutospacing="1" w:after="100" w:afterAutospacing="1"/>
        <w:ind w:firstLine="0"/>
        <w:jc w:val="both"/>
        <w:rPr>
          <w:rFonts w:ascii="TH SarabunPSK" w:eastAsia="Calibri" w:hAnsi="TH SarabunPSK" w:cs="TH SarabunPSK"/>
          <w:b/>
          <w:bCs/>
          <w:noProof/>
          <w:kern w:val="0"/>
          <w:sz w:val="32"/>
          <w:szCs w:val="32"/>
          <w14:ligatures w14:val="none"/>
        </w:rPr>
      </w:pPr>
      <w:r w:rsidRPr="00E74E44">
        <w:rPr>
          <w:rFonts w:ascii="TH SarabunPSK" w:eastAsia="Calibri" w:hAnsi="TH SarabunPSK" w:cs="TH SarabunPSK"/>
          <w:b/>
          <w:bCs/>
          <w:noProof/>
          <w:kern w:val="0"/>
          <w:sz w:val="32"/>
          <w:szCs w:val="32"/>
          <w14:ligatures w14:val="none"/>
        </w:rPr>
        <w:t xml:space="preserve">Table 1 </w:t>
      </w:r>
      <w:r w:rsidR="00FF1133" w:rsidRPr="00E74E44">
        <w:rPr>
          <w:rFonts w:ascii="TH SarabunPSK" w:eastAsia="Calibri" w:hAnsi="TH SarabunPSK" w:cs="TH SarabunPSK"/>
          <w:noProof/>
          <w:kern w:val="0"/>
          <w:sz w:val="32"/>
          <w:szCs w:val="32"/>
          <w14:ligatures w14:val="none"/>
        </w:rPr>
        <w:t>General status of esports business organizations</w:t>
      </w:r>
    </w:p>
    <w:tbl>
      <w:tblPr>
        <w:tblStyle w:val="TableGrid1"/>
        <w:tblW w:w="5000" w:type="pct"/>
        <w:tblLook w:val="04A0" w:firstRow="1" w:lastRow="0" w:firstColumn="1" w:lastColumn="0" w:noHBand="0" w:noVBand="1"/>
      </w:tblPr>
      <w:tblGrid>
        <w:gridCol w:w="2404"/>
        <w:gridCol w:w="4679"/>
        <w:gridCol w:w="2121"/>
      </w:tblGrid>
      <w:tr w:rsidR="00FF1133" w:rsidRPr="00E74E44" w14:paraId="333AD9BD" w14:textId="77777777" w:rsidTr="00445272">
        <w:trPr>
          <w:tblHeader/>
        </w:trPr>
        <w:tc>
          <w:tcPr>
            <w:tcW w:w="1306" w:type="pct"/>
            <w:hideMark/>
          </w:tcPr>
          <w:p w14:paraId="30C09A56" w14:textId="0A1DBF3C" w:rsidR="00FF1133" w:rsidRPr="00E74E44" w:rsidRDefault="00FF1133" w:rsidP="00445272">
            <w:pPr>
              <w:widowControl w:val="0"/>
              <w:ind w:firstLine="0"/>
              <w:jc w:val="center"/>
              <w:rPr>
                <w:rFonts w:ascii="TH SarabunPSK" w:hAnsi="TH SarabunPSK" w:cs="TH SarabunPSK"/>
                <w:b/>
                <w:bCs/>
                <w:noProof/>
                <w:sz w:val="32"/>
                <w:szCs w:val="32"/>
              </w:rPr>
            </w:pPr>
            <w:r w:rsidRPr="00E74E44">
              <w:rPr>
                <w:rFonts w:ascii="TH SarabunPSK" w:hAnsi="TH SarabunPSK" w:cs="TH SarabunPSK"/>
                <w:b/>
                <w:bCs/>
                <w:sz w:val="32"/>
                <w:szCs w:val="32"/>
              </w:rPr>
              <w:t>Characteristic</w:t>
            </w:r>
          </w:p>
        </w:tc>
        <w:tc>
          <w:tcPr>
            <w:tcW w:w="2542" w:type="pct"/>
            <w:hideMark/>
          </w:tcPr>
          <w:p w14:paraId="67ED986A" w14:textId="11BC5D31" w:rsidR="00FF1133" w:rsidRPr="00E74E44" w:rsidRDefault="00FF1133" w:rsidP="00445272">
            <w:pPr>
              <w:widowControl w:val="0"/>
              <w:ind w:firstLine="0"/>
              <w:jc w:val="center"/>
              <w:rPr>
                <w:rFonts w:ascii="TH SarabunPSK" w:hAnsi="TH SarabunPSK" w:cs="TH SarabunPSK"/>
                <w:b/>
                <w:bCs/>
                <w:noProof/>
                <w:sz w:val="32"/>
                <w:szCs w:val="32"/>
              </w:rPr>
            </w:pPr>
            <w:r w:rsidRPr="00E74E44">
              <w:rPr>
                <w:rFonts w:ascii="TH SarabunPSK" w:hAnsi="TH SarabunPSK" w:cs="TH SarabunPSK"/>
                <w:b/>
                <w:bCs/>
                <w:sz w:val="32"/>
                <w:szCs w:val="32"/>
              </w:rPr>
              <w:t>Category</w:t>
            </w:r>
          </w:p>
        </w:tc>
        <w:tc>
          <w:tcPr>
            <w:tcW w:w="1152" w:type="pct"/>
            <w:hideMark/>
          </w:tcPr>
          <w:p w14:paraId="252C6567" w14:textId="4DABE127" w:rsidR="00FF1133" w:rsidRPr="00E74E44" w:rsidRDefault="00FF1133" w:rsidP="00445272">
            <w:pPr>
              <w:widowControl w:val="0"/>
              <w:ind w:firstLine="0"/>
              <w:jc w:val="center"/>
              <w:rPr>
                <w:rFonts w:ascii="TH SarabunPSK" w:hAnsi="TH SarabunPSK" w:cs="TH SarabunPSK"/>
                <w:b/>
                <w:bCs/>
                <w:noProof/>
                <w:sz w:val="32"/>
                <w:szCs w:val="32"/>
              </w:rPr>
            </w:pPr>
            <w:r w:rsidRPr="00E74E44">
              <w:rPr>
                <w:rFonts w:ascii="TH SarabunPSK" w:hAnsi="TH SarabunPSK" w:cs="TH SarabunPSK"/>
                <w:b/>
                <w:bCs/>
                <w:sz w:val="32"/>
                <w:szCs w:val="32"/>
              </w:rPr>
              <w:t>Percentage</w:t>
            </w:r>
          </w:p>
        </w:tc>
      </w:tr>
      <w:tr w:rsidR="00445272" w:rsidRPr="00E74E44" w14:paraId="2683189A" w14:textId="77777777" w:rsidTr="00FF1133">
        <w:tc>
          <w:tcPr>
            <w:tcW w:w="1306" w:type="pct"/>
            <w:hideMark/>
          </w:tcPr>
          <w:p w14:paraId="73BFFFC6" w14:textId="3633077C" w:rsidR="00445272" w:rsidRPr="00E74E44" w:rsidRDefault="00445272" w:rsidP="00445272">
            <w:pPr>
              <w:widowControl w:val="0"/>
              <w:ind w:firstLine="0"/>
              <w:jc w:val="both"/>
              <w:rPr>
                <w:rFonts w:ascii="TH SarabunPSK" w:hAnsi="TH SarabunPSK" w:cs="TH SarabunPSK"/>
                <w:b/>
                <w:bCs/>
                <w:noProof/>
                <w:sz w:val="32"/>
                <w:szCs w:val="32"/>
              </w:rPr>
            </w:pPr>
            <w:r w:rsidRPr="00E74E44">
              <w:rPr>
                <w:rFonts w:ascii="TH SarabunPSK" w:hAnsi="TH SarabunPSK" w:cs="TH SarabunPSK"/>
                <w:sz w:val="32"/>
                <w:szCs w:val="32"/>
              </w:rPr>
              <w:t>Business size</w:t>
            </w:r>
          </w:p>
        </w:tc>
        <w:tc>
          <w:tcPr>
            <w:tcW w:w="2542" w:type="pct"/>
            <w:hideMark/>
          </w:tcPr>
          <w:p w14:paraId="27C44026" w14:textId="10B98734" w:rsidR="00445272" w:rsidRPr="00E74E44" w:rsidRDefault="00445272" w:rsidP="00445272">
            <w:pPr>
              <w:widowControl w:val="0"/>
              <w:ind w:firstLine="0"/>
              <w:jc w:val="left"/>
              <w:rPr>
                <w:rFonts w:ascii="TH SarabunPSK" w:hAnsi="TH SarabunPSK" w:cs="TH SarabunPSK"/>
                <w:b/>
                <w:bCs/>
                <w:noProof/>
                <w:sz w:val="32"/>
                <w:szCs w:val="32"/>
              </w:rPr>
            </w:pPr>
            <w:r w:rsidRPr="00E74E44">
              <w:rPr>
                <w:rFonts w:ascii="TH SarabunPSK" w:hAnsi="TH SarabunPSK" w:cs="TH SarabunPSK"/>
                <w:sz w:val="32"/>
                <w:szCs w:val="32"/>
              </w:rPr>
              <w:t>Small and medium-sized enterprises (SMEs)</w:t>
            </w:r>
          </w:p>
        </w:tc>
        <w:tc>
          <w:tcPr>
            <w:tcW w:w="1152" w:type="pct"/>
            <w:hideMark/>
          </w:tcPr>
          <w:p w14:paraId="0AC0EE50" w14:textId="514E7908" w:rsidR="00445272" w:rsidRPr="00E74E44" w:rsidRDefault="00445272" w:rsidP="00445272">
            <w:pPr>
              <w:widowControl w:val="0"/>
              <w:ind w:firstLine="0"/>
              <w:jc w:val="center"/>
              <w:rPr>
                <w:rFonts w:ascii="TH SarabunPSK" w:hAnsi="TH SarabunPSK" w:cs="TH SarabunPSK"/>
                <w:b/>
                <w:bCs/>
                <w:noProof/>
                <w:sz w:val="32"/>
                <w:szCs w:val="32"/>
              </w:rPr>
            </w:pPr>
            <w:r w:rsidRPr="00E74E44">
              <w:rPr>
                <w:rFonts w:ascii="TH SarabunPSK" w:hAnsi="TH SarabunPSK" w:cs="TH SarabunPSK"/>
                <w:sz w:val="32"/>
                <w:szCs w:val="32"/>
              </w:rPr>
              <w:t>50.00%</w:t>
            </w:r>
          </w:p>
        </w:tc>
      </w:tr>
      <w:tr w:rsidR="00445272" w:rsidRPr="00E74E44" w14:paraId="76935E29" w14:textId="77777777" w:rsidTr="00FF1133">
        <w:tc>
          <w:tcPr>
            <w:tcW w:w="1306" w:type="pct"/>
            <w:hideMark/>
          </w:tcPr>
          <w:p w14:paraId="0E53A5DD" w14:textId="152B4976" w:rsidR="00445272" w:rsidRPr="00E74E44" w:rsidRDefault="00445272" w:rsidP="00445272">
            <w:pPr>
              <w:widowControl w:val="0"/>
              <w:ind w:firstLine="0"/>
              <w:jc w:val="both"/>
              <w:rPr>
                <w:rFonts w:ascii="TH SarabunPSK" w:hAnsi="TH SarabunPSK" w:cs="TH SarabunPSK"/>
                <w:noProof/>
                <w:sz w:val="32"/>
                <w:szCs w:val="32"/>
              </w:rPr>
            </w:pPr>
            <w:r w:rsidRPr="00E74E44">
              <w:rPr>
                <w:rFonts w:ascii="TH SarabunPSK" w:hAnsi="TH SarabunPSK" w:cs="TH SarabunPSK"/>
                <w:sz w:val="32"/>
                <w:szCs w:val="32"/>
              </w:rPr>
              <w:t>Large businesses</w:t>
            </w:r>
          </w:p>
        </w:tc>
        <w:tc>
          <w:tcPr>
            <w:tcW w:w="2542" w:type="pct"/>
            <w:hideMark/>
          </w:tcPr>
          <w:p w14:paraId="3A0EC190" w14:textId="05F225B8" w:rsidR="00445272" w:rsidRPr="00E74E44" w:rsidRDefault="00445272" w:rsidP="00445272">
            <w:pPr>
              <w:widowControl w:val="0"/>
              <w:ind w:firstLine="0"/>
              <w:jc w:val="left"/>
              <w:rPr>
                <w:rFonts w:ascii="TH SarabunPSK" w:hAnsi="TH SarabunPSK" w:cs="TH SarabunPSK"/>
                <w:noProof/>
                <w:sz w:val="32"/>
                <w:szCs w:val="32"/>
              </w:rPr>
            </w:pPr>
            <w:r w:rsidRPr="00E74E44">
              <w:rPr>
                <w:rFonts w:ascii="TH SarabunPSK" w:hAnsi="TH SarabunPSK" w:cs="TH SarabunPSK"/>
                <w:sz w:val="32"/>
                <w:szCs w:val="32"/>
              </w:rPr>
              <w:t>50.00%</w:t>
            </w:r>
          </w:p>
        </w:tc>
        <w:tc>
          <w:tcPr>
            <w:tcW w:w="1152" w:type="pct"/>
            <w:hideMark/>
          </w:tcPr>
          <w:p w14:paraId="0B4BD0BB" w14:textId="6704452C" w:rsidR="00445272" w:rsidRPr="00E74E44" w:rsidRDefault="00445272" w:rsidP="00445272">
            <w:pPr>
              <w:widowControl w:val="0"/>
              <w:ind w:firstLine="0"/>
              <w:jc w:val="center"/>
              <w:rPr>
                <w:rFonts w:ascii="TH SarabunPSK" w:hAnsi="TH SarabunPSK" w:cs="TH SarabunPSK"/>
                <w:noProof/>
                <w:sz w:val="32"/>
                <w:szCs w:val="32"/>
              </w:rPr>
            </w:pPr>
          </w:p>
        </w:tc>
      </w:tr>
      <w:tr w:rsidR="00445272" w:rsidRPr="00E74E44" w14:paraId="35F0BC80" w14:textId="77777777" w:rsidTr="00FF1133">
        <w:tc>
          <w:tcPr>
            <w:tcW w:w="1306" w:type="pct"/>
            <w:hideMark/>
          </w:tcPr>
          <w:p w14:paraId="0E904EFF" w14:textId="7C91CD59" w:rsidR="00445272" w:rsidRPr="00E74E44" w:rsidRDefault="00445272" w:rsidP="00445272">
            <w:pPr>
              <w:widowControl w:val="0"/>
              <w:ind w:firstLine="0"/>
              <w:jc w:val="both"/>
              <w:rPr>
                <w:rFonts w:ascii="TH SarabunPSK" w:hAnsi="TH SarabunPSK" w:cs="TH SarabunPSK"/>
                <w:noProof/>
                <w:sz w:val="32"/>
                <w:szCs w:val="32"/>
              </w:rPr>
            </w:pPr>
            <w:r w:rsidRPr="00E74E44">
              <w:rPr>
                <w:rFonts w:ascii="TH SarabunPSK" w:hAnsi="TH SarabunPSK" w:cs="TH SarabunPSK"/>
                <w:sz w:val="32"/>
                <w:szCs w:val="32"/>
              </w:rPr>
              <w:t>Business structure</w:t>
            </w:r>
          </w:p>
        </w:tc>
        <w:tc>
          <w:tcPr>
            <w:tcW w:w="2542" w:type="pct"/>
            <w:hideMark/>
          </w:tcPr>
          <w:p w14:paraId="5133491A" w14:textId="424C6C50" w:rsidR="00445272" w:rsidRPr="00E74E44" w:rsidRDefault="00445272" w:rsidP="00445272">
            <w:pPr>
              <w:widowControl w:val="0"/>
              <w:ind w:firstLine="0"/>
              <w:jc w:val="left"/>
              <w:rPr>
                <w:rFonts w:ascii="TH SarabunPSK" w:hAnsi="TH SarabunPSK" w:cs="TH SarabunPSK"/>
                <w:noProof/>
                <w:sz w:val="32"/>
                <w:szCs w:val="32"/>
              </w:rPr>
            </w:pPr>
            <w:r w:rsidRPr="00E74E44">
              <w:rPr>
                <w:rFonts w:ascii="TH SarabunPSK" w:hAnsi="TH SarabunPSK" w:cs="TH SarabunPSK"/>
                <w:sz w:val="32"/>
                <w:szCs w:val="32"/>
              </w:rPr>
              <w:t>Limited company</w:t>
            </w:r>
          </w:p>
        </w:tc>
        <w:tc>
          <w:tcPr>
            <w:tcW w:w="1152" w:type="pct"/>
            <w:hideMark/>
          </w:tcPr>
          <w:p w14:paraId="050BEF87" w14:textId="3006ACF2" w:rsidR="00445272" w:rsidRPr="00E74E44" w:rsidRDefault="00445272" w:rsidP="00445272">
            <w:pPr>
              <w:widowControl w:val="0"/>
              <w:ind w:firstLine="0"/>
              <w:jc w:val="center"/>
              <w:rPr>
                <w:rFonts w:ascii="TH SarabunPSK" w:hAnsi="TH SarabunPSK" w:cs="TH SarabunPSK"/>
                <w:noProof/>
                <w:sz w:val="32"/>
                <w:szCs w:val="32"/>
              </w:rPr>
            </w:pPr>
            <w:r w:rsidRPr="00E74E44">
              <w:rPr>
                <w:rFonts w:ascii="TH SarabunPSK" w:hAnsi="TH SarabunPSK" w:cs="TH SarabunPSK"/>
                <w:sz w:val="32"/>
                <w:szCs w:val="32"/>
              </w:rPr>
              <w:t>45.00%</w:t>
            </w:r>
          </w:p>
        </w:tc>
      </w:tr>
      <w:tr w:rsidR="00445272" w:rsidRPr="00E74E44" w14:paraId="528C1A2F" w14:textId="77777777" w:rsidTr="00FF1133">
        <w:tc>
          <w:tcPr>
            <w:tcW w:w="1306" w:type="pct"/>
            <w:hideMark/>
          </w:tcPr>
          <w:p w14:paraId="6F7C45A7" w14:textId="38B13F04" w:rsidR="00445272" w:rsidRPr="00E74E44" w:rsidRDefault="00445272" w:rsidP="00445272">
            <w:pPr>
              <w:widowControl w:val="0"/>
              <w:ind w:firstLine="0"/>
              <w:jc w:val="both"/>
              <w:rPr>
                <w:rFonts w:ascii="TH SarabunPSK" w:hAnsi="TH SarabunPSK" w:cs="TH SarabunPSK"/>
                <w:noProof/>
                <w:sz w:val="32"/>
                <w:szCs w:val="32"/>
              </w:rPr>
            </w:pPr>
            <w:r w:rsidRPr="00E74E44">
              <w:rPr>
                <w:rFonts w:ascii="TH SarabunPSK" w:hAnsi="TH SarabunPSK" w:cs="TH SarabunPSK"/>
                <w:sz w:val="32"/>
                <w:szCs w:val="32"/>
              </w:rPr>
              <w:t>Years in operation</w:t>
            </w:r>
          </w:p>
        </w:tc>
        <w:tc>
          <w:tcPr>
            <w:tcW w:w="2542" w:type="pct"/>
            <w:hideMark/>
          </w:tcPr>
          <w:p w14:paraId="0D88F8A1" w14:textId="4C27DF06" w:rsidR="00445272" w:rsidRPr="00E74E44" w:rsidRDefault="00445272" w:rsidP="00445272">
            <w:pPr>
              <w:widowControl w:val="0"/>
              <w:ind w:firstLine="0"/>
              <w:jc w:val="left"/>
              <w:rPr>
                <w:rFonts w:ascii="TH SarabunPSK" w:hAnsi="TH SarabunPSK" w:cs="TH SarabunPSK"/>
                <w:noProof/>
                <w:sz w:val="32"/>
                <w:szCs w:val="32"/>
              </w:rPr>
            </w:pPr>
            <w:r w:rsidRPr="00E74E44">
              <w:rPr>
                <w:rFonts w:ascii="TH SarabunPSK" w:hAnsi="TH SarabunPSK" w:cs="TH SarabunPSK"/>
                <w:sz w:val="32"/>
                <w:szCs w:val="32"/>
              </w:rPr>
              <w:t>10–20 years</w:t>
            </w:r>
          </w:p>
        </w:tc>
        <w:tc>
          <w:tcPr>
            <w:tcW w:w="1152" w:type="pct"/>
            <w:hideMark/>
          </w:tcPr>
          <w:p w14:paraId="36CC314D" w14:textId="15A5BDAF" w:rsidR="00445272" w:rsidRPr="00E74E44" w:rsidRDefault="00445272" w:rsidP="00445272">
            <w:pPr>
              <w:widowControl w:val="0"/>
              <w:ind w:firstLine="0"/>
              <w:jc w:val="center"/>
              <w:rPr>
                <w:rFonts w:ascii="TH SarabunPSK" w:hAnsi="TH SarabunPSK" w:cs="TH SarabunPSK"/>
                <w:noProof/>
                <w:sz w:val="32"/>
                <w:szCs w:val="32"/>
              </w:rPr>
            </w:pPr>
            <w:r w:rsidRPr="00E74E44">
              <w:rPr>
                <w:rFonts w:ascii="TH SarabunPSK" w:hAnsi="TH SarabunPSK" w:cs="TH SarabunPSK"/>
                <w:sz w:val="32"/>
                <w:szCs w:val="32"/>
              </w:rPr>
              <w:t>40.20%</w:t>
            </w:r>
          </w:p>
        </w:tc>
      </w:tr>
      <w:tr w:rsidR="00445272" w:rsidRPr="00E74E44" w14:paraId="51BAF7D2" w14:textId="77777777" w:rsidTr="00FF1133">
        <w:tc>
          <w:tcPr>
            <w:tcW w:w="1306" w:type="pct"/>
            <w:hideMark/>
          </w:tcPr>
          <w:p w14:paraId="63D5544A" w14:textId="1F7851F9" w:rsidR="00445272" w:rsidRPr="00E74E44" w:rsidRDefault="00445272" w:rsidP="00445272">
            <w:pPr>
              <w:widowControl w:val="0"/>
              <w:ind w:firstLine="0"/>
              <w:jc w:val="both"/>
              <w:rPr>
                <w:rFonts w:ascii="TH SarabunPSK" w:hAnsi="TH SarabunPSK" w:cs="TH SarabunPSK"/>
                <w:noProof/>
                <w:sz w:val="32"/>
                <w:szCs w:val="32"/>
              </w:rPr>
            </w:pPr>
            <w:r w:rsidRPr="00E74E44">
              <w:rPr>
                <w:rFonts w:ascii="TH SarabunPSK" w:hAnsi="TH SarabunPSK" w:cs="TH SarabunPSK"/>
                <w:sz w:val="32"/>
                <w:szCs w:val="32"/>
              </w:rPr>
              <w:lastRenderedPageBreak/>
              <w:t>Ownership/investment</w:t>
            </w:r>
          </w:p>
        </w:tc>
        <w:tc>
          <w:tcPr>
            <w:tcW w:w="2542" w:type="pct"/>
            <w:hideMark/>
          </w:tcPr>
          <w:p w14:paraId="0A0F8536" w14:textId="630F1B9B" w:rsidR="00445272" w:rsidRPr="00E74E44" w:rsidRDefault="00445272" w:rsidP="00445272">
            <w:pPr>
              <w:widowControl w:val="0"/>
              <w:ind w:firstLine="0"/>
              <w:jc w:val="left"/>
              <w:rPr>
                <w:rFonts w:ascii="TH SarabunPSK" w:hAnsi="TH SarabunPSK" w:cs="TH SarabunPSK"/>
                <w:noProof/>
                <w:sz w:val="32"/>
                <w:szCs w:val="32"/>
              </w:rPr>
            </w:pPr>
            <w:r w:rsidRPr="00E74E44">
              <w:rPr>
                <w:rFonts w:ascii="TH SarabunPSK" w:hAnsi="TH SarabunPSK" w:cs="TH SarabunPSK"/>
                <w:sz w:val="32"/>
                <w:szCs w:val="32"/>
              </w:rPr>
              <w:t>Fully invested by Thai stakeholders</w:t>
            </w:r>
          </w:p>
        </w:tc>
        <w:tc>
          <w:tcPr>
            <w:tcW w:w="1152" w:type="pct"/>
            <w:hideMark/>
          </w:tcPr>
          <w:p w14:paraId="1CADC713" w14:textId="64CB9C28" w:rsidR="00445272" w:rsidRPr="00E74E44" w:rsidRDefault="00445272" w:rsidP="00445272">
            <w:pPr>
              <w:widowControl w:val="0"/>
              <w:ind w:firstLine="0"/>
              <w:jc w:val="center"/>
              <w:rPr>
                <w:rFonts w:ascii="TH SarabunPSK" w:hAnsi="TH SarabunPSK" w:cs="TH SarabunPSK"/>
                <w:noProof/>
                <w:sz w:val="32"/>
                <w:szCs w:val="32"/>
              </w:rPr>
            </w:pPr>
            <w:r w:rsidRPr="00E74E44">
              <w:rPr>
                <w:rFonts w:ascii="TH SarabunPSK" w:hAnsi="TH SarabunPSK" w:cs="TH SarabunPSK"/>
                <w:sz w:val="32"/>
                <w:szCs w:val="32"/>
              </w:rPr>
              <w:t>40.60%</w:t>
            </w:r>
          </w:p>
        </w:tc>
      </w:tr>
      <w:tr w:rsidR="00445272" w:rsidRPr="00E74E44" w14:paraId="025F797C" w14:textId="77777777" w:rsidTr="00FF1133">
        <w:tc>
          <w:tcPr>
            <w:tcW w:w="1306" w:type="pct"/>
          </w:tcPr>
          <w:p w14:paraId="2C96B116" w14:textId="194348B6" w:rsidR="00445272" w:rsidRPr="00E74E44" w:rsidRDefault="00445272" w:rsidP="00445272">
            <w:pPr>
              <w:widowControl w:val="0"/>
              <w:ind w:firstLine="0"/>
              <w:jc w:val="both"/>
              <w:rPr>
                <w:rFonts w:ascii="TH SarabunPSK" w:hAnsi="TH SarabunPSK" w:cs="TH SarabunPSK"/>
                <w:noProof/>
                <w:sz w:val="32"/>
                <w:szCs w:val="32"/>
              </w:rPr>
            </w:pPr>
            <w:r w:rsidRPr="00E74E44">
              <w:rPr>
                <w:rFonts w:ascii="TH SarabunPSK" w:hAnsi="TH SarabunPSK" w:cs="TH SarabunPSK"/>
                <w:sz w:val="32"/>
                <w:szCs w:val="32"/>
              </w:rPr>
              <w:t>Business location</w:t>
            </w:r>
          </w:p>
        </w:tc>
        <w:tc>
          <w:tcPr>
            <w:tcW w:w="2542" w:type="pct"/>
          </w:tcPr>
          <w:p w14:paraId="2C14663F" w14:textId="209DA146" w:rsidR="00445272" w:rsidRPr="00E74E44" w:rsidRDefault="00445272" w:rsidP="00445272">
            <w:pPr>
              <w:widowControl w:val="0"/>
              <w:ind w:firstLine="0"/>
              <w:jc w:val="left"/>
              <w:rPr>
                <w:rFonts w:ascii="TH SarabunPSK" w:hAnsi="TH SarabunPSK" w:cs="TH SarabunPSK"/>
                <w:noProof/>
                <w:sz w:val="32"/>
                <w:szCs w:val="32"/>
              </w:rPr>
            </w:pPr>
            <w:r w:rsidRPr="00E74E44">
              <w:rPr>
                <w:rFonts w:ascii="TH SarabunPSK" w:hAnsi="TH SarabunPSK" w:cs="TH SarabunPSK"/>
                <w:sz w:val="32"/>
                <w:szCs w:val="32"/>
              </w:rPr>
              <w:t>Provincial areas</w:t>
            </w:r>
          </w:p>
        </w:tc>
        <w:tc>
          <w:tcPr>
            <w:tcW w:w="1152" w:type="pct"/>
          </w:tcPr>
          <w:p w14:paraId="25A33CC8" w14:textId="00E611BB" w:rsidR="00445272" w:rsidRPr="00E74E44" w:rsidRDefault="00445272" w:rsidP="00445272">
            <w:pPr>
              <w:widowControl w:val="0"/>
              <w:ind w:firstLine="0"/>
              <w:jc w:val="center"/>
              <w:rPr>
                <w:rFonts w:ascii="TH SarabunPSK" w:hAnsi="TH SarabunPSK" w:cs="TH SarabunPSK"/>
                <w:noProof/>
                <w:sz w:val="32"/>
                <w:szCs w:val="32"/>
              </w:rPr>
            </w:pPr>
            <w:r w:rsidRPr="00E74E44">
              <w:rPr>
                <w:rFonts w:ascii="TH SarabunPSK" w:hAnsi="TH SarabunPSK" w:cs="TH SarabunPSK"/>
                <w:sz w:val="32"/>
                <w:szCs w:val="32"/>
              </w:rPr>
              <w:t>52.50%</w:t>
            </w:r>
          </w:p>
        </w:tc>
      </w:tr>
    </w:tbl>
    <w:p w14:paraId="27D15129" w14:textId="5815116F" w:rsidR="00794250" w:rsidRPr="00E74E44" w:rsidRDefault="00FF1133" w:rsidP="007E6436">
      <w:pPr>
        <w:widowControl w:val="0"/>
        <w:spacing w:before="100" w:beforeAutospacing="1"/>
        <w:jc w:val="both"/>
        <w:rPr>
          <w:rFonts w:ascii="TH SarabunPSK" w:eastAsia="Calibri" w:hAnsi="TH SarabunPSK" w:cs="TH SarabunPSK"/>
          <w:noProof/>
          <w:kern w:val="0"/>
          <w:sz w:val="32"/>
          <w:szCs w:val="32"/>
          <w14:ligatures w14:val="none"/>
        </w:rPr>
      </w:pPr>
      <w:r w:rsidRPr="00E74E44">
        <w:rPr>
          <w:rFonts w:ascii="TH SarabunPSK" w:eastAsia="Calibri" w:hAnsi="TH SarabunPSK" w:cs="TH SarabunPSK"/>
          <w:noProof/>
          <w:kern w:val="0"/>
          <w:sz w:val="32"/>
          <w:szCs w:val="32"/>
          <w14:ligatures w14:val="none"/>
        </w:rPr>
        <w:t>The general status of esports business organizations revealed that respondents were primarily small and medium-sized enterprises (SMEs), comparable to large businesses, with each group representing 50.00% of the sample. Most esports organizations were structured as limited companies (45.00%). The majority of these businesses had been in operation for 10 to 20 years (40.20%). Additionally, 40.60% of the business models were fully invested by Thai stakeholders, with most companies being located in provincial areas (52.50%).</w:t>
      </w:r>
    </w:p>
    <w:p w14:paraId="30E72590" w14:textId="24E7C1B3" w:rsidR="00794250" w:rsidRPr="00E74E44" w:rsidRDefault="0068737F" w:rsidP="00794250">
      <w:pPr>
        <w:widowControl w:val="0"/>
        <w:tabs>
          <w:tab w:val="left" w:pos="1009"/>
          <w:tab w:val="left" w:pos="1644"/>
          <w:tab w:val="left" w:pos="2449"/>
        </w:tabs>
        <w:spacing w:before="100" w:beforeAutospacing="1" w:after="100" w:afterAutospacing="1"/>
        <w:ind w:firstLine="0"/>
        <w:jc w:val="both"/>
        <w:rPr>
          <w:rFonts w:ascii="TH SarabunPSK" w:eastAsia="Calibri" w:hAnsi="TH SarabunPSK" w:cs="TH SarabunPSK"/>
          <w:b/>
          <w:bCs/>
          <w:noProof/>
          <w:kern w:val="0"/>
          <w:sz w:val="32"/>
          <w:szCs w:val="32"/>
          <w:lang w:val="en"/>
          <w14:ligatures w14:val="none"/>
        </w:rPr>
      </w:pPr>
      <w:r w:rsidRPr="00E74E44">
        <w:rPr>
          <w:rFonts w:ascii="TH SarabunPSK" w:eastAsia="Calibri" w:hAnsi="TH SarabunPSK" w:cs="TH SarabunPSK"/>
          <w:b/>
          <w:bCs/>
          <w:spacing w:val="-4"/>
          <w:kern w:val="0"/>
          <w:sz w:val="32"/>
          <w:szCs w:val="32"/>
          <w14:ligatures w14:val="none"/>
        </w:rPr>
        <w:t xml:space="preserve">Table 2 </w:t>
      </w:r>
      <w:r w:rsidR="007E6436" w:rsidRPr="00E74E44">
        <w:rPr>
          <w:rFonts w:ascii="TH SarabunPSK" w:eastAsia="Calibri" w:hAnsi="TH SarabunPSK" w:cs="TH SarabunPSK"/>
          <w:noProof/>
          <w:kern w:val="0"/>
          <w:sz w:val="32"/>
          <w:szCs w:val="32"/>
          <w:lang w:val="en"/>
          <w14:ligatures w14:val="none"/>
        </w:rPr>
        <w:t>Mean and Standard Deviation Classified by Industry Size as an Overall and by Aspect</w:t>
      </w:r>
    </w:p>
    <w:tbl>
      <w:tblPr>
        <w:tblStyle w:val="TableGrid2"/>
        <w:tblW w:w="5000" w:type="pct"/>
        <w:tblLook w:val="04A0" w:firstRow="1" w:lastRow="0" w:firstColumn="1" w:lastColumn="0" w:noHBand="0" w:noVBand="1"/>
      </w:tblPr>
      <w:tblGrid>
        <w:gridCol w:w="3053"/>
        <w:gridCol w:w="795"/>
        <w:gridCol w:w="700"/>
        <w:gridCol w:w="1609"/>
        <w:gridCol w:w="742"/>
        <w:gridCol w:w="700"/>
        <w:gridCol w:w="1605"/>
      </w:tblGrid>
      <w:tr w:rsidR="00794250" w:rsidRPr="00E74E44" w14:paraId="15C3D28E" w14:textId="77777777" w:rsidTr="007E6436">
        <w:trPr>
          <w:tblHeader/>
        </w:trPr>
        <w:tc>
          <w:tcPr>
            <w:tcW w:w="1659" w:type="pct"/>
            <w:vMerge w:val="restart"/>
            <w:vAlign w:val="center"/>
          </w:tcPr>
          <w:p w14:paraId="2E98CE98" w14:textId="5714A0EF" w:rsidR="00794250" w:rsidRPr="00E74E44" w:rsidRDefault="00794250" w:rsidP="007E6436">
            <w:pPr>
              <w:ind w:firstLine="0"/>
              <w:jc w:val="center"/>
              <w:rPr>
                <w:rFonts w:ascii="TH SarabunPSK" w:eastAsia="Calibri" w:hAnsi="TH SarabunPSK" w:cs="TH SarabunPSK"/>
                <w:b/>
                <w:bCs/>
                <w:sz w:val="32"/>
                <w:szCs w:val="32"/>
              </w:rPr>
            </w:pPr>
            <w:r w:rsidRPr="00E74E44">
              <w:rPr>
                <w:rFonts w:ascii="TH SarabunPSK" w:eastAsia="Calibri" w:hAnsi="TH SarabunPSK" w:cs="TH SarabunPSK"/>
                <w:b/>
                <w:bCs/>
                <w:sz w:val="32"/>
                <w:szCs w:val="32"/>
              </w:rPr>
              <w:t>Approaches</w:t>
            </w:r>
          </w:p>
        </w:tc>
        <w:tc>
          <w:tcPr>
            <w:tcW w:w="1686" w:type="pct"/>
            <w:gridSpan w:val="3"/>
          </w:tcPr>
          <w:p w14:paraId="373A696C" w14:textId="77777777" w:rsidR="00794250" w:rsidRPr="00E74E44" w:rsidRDefault="00794250" w:rsidP="007E6436">
            <w:pPr>
              <w:ind w:firstLine="0"/>
              <w:jc w:val="center"/>
              <w:rPr>
                <w:rFonts w:ascii="TH SarabunPSK" w:eastAsia="Calibri" w:hAnsi="TH SarabunPSK" w:cs="TH SarabunPSK"/>
                <w:b/>
                <w:bCs/>
                <w:color w:val="000000"/>
                <w:sz w:val="32"/>
                <w:szCs w:val="32"/>
              </w:rPr>
            </w:pPr>
            <w:r w:rsidRPr="00E74E44">
              <w:rPr>
                <w:rFonts w:ascii="TH SarabunPSK" w:eastAsia="Calibri" w:hAnsi="TH SarabunPSK" w:cs="TH SarabunPSK"/>
                <w:b/>
                <w:bCs/>
                <w:color w:val="000000"/>
                <w:sz w:val="32"/>
                <w:szCs w:val="32"/>
              </w:rPr>
              <w:t>Small and medium industry business</w:t>
            </w:r>
          </w:p>
        </w:tc>
        <w:tc>
          <w:tcPr>
            <w:tcW w:w="1655" w:type="pct"/>
            <w:gridSpan w:val="3"/>
          </w:tcPr>
          <w:p w14:paraId="56EB23A8" w14:textId="77777777" w:rsidR="00794250" w:rsidRPr="00E74E44" w:rsidRDefault="00794250" w:rsidP="007E6436">
            <w:pPr>
              <w:ind w:firstLine="0"/>
              <w:jc w:val="center"/>
              <w:rPr>
                <w:rFonts w:ascii="TH SarabunPSK" w:eastAsia="Calibri" w:hAnsi="TH SarabunPSK" w:cs="TH SarabunPSK"/>
                <w:b/>
                <w:bCs/>
                <w:color w:val="000000"/>
                <w:sz w:val="32"/>
                <w:szCs w:val="32"/>
              </w:rPr>
            </w:pPr>
            <w:r w:rsidRPr="00E74E44">
              <w:rPr>
                <w:rFonts w:ascii="TH SarabunPSK" w:eastAsia="Calibri" w:hAnsi="TH SarabunPSK" w:cs="TH SarabunPSK"/>
                <w:b/>
                <w:bCs/>
                <w:color w:val="000000"/>
                <w:sz w:val="32"/>
                <w:szCs w:val="32"/>
              </w:rPr>
              <w:t>Large industry business</w:t>
            </w:r>
          </w:p>
        </w:tc>
      </w:tr>
      <w:tr w:rsidR="00794250" w:rsidRPr="00E74E44" w14:paraId="03371E34" w14:textId="77777777" w:rsidTr="007E6436">
        <w:trPr>
          <w:tblHeader/>
        </w:trPr>
        <w:tc>
          <w:tcPr>
            <w:tcW w:w="1659" w:type="pct"/>
            <w:vMerge/>
          </w:tcPr>
          <w:p w14:paraId="147141FE" w14:textId="77777777" w:rsidR="00794250" w:rsidRPr="00E74E44" w:rsidRDefault="00794250" w:rsidP="007E6436">
            <w:pPr>
              <w:ind w:firstLine="0"/>
              <w:jc w:val="center"/>
              <w:rPr>
                <w:rFonts w:ascii="TH SarabunPSK" w:eastAsia="Calibri" w:hAnsi="TH SarabunPSK" w:cs="TH SarabunPSK"/>
                <w:color w:val="000000"/>
                <w:sz w:val="32"/>
                <w:szCs w:val="32"/>
              </w:rPr>
            </w:pPr>
          </w:p>
        </w:tc>
        <w:tc>
          <w:tcPr>
            <w:tcW w:w="432" w:type="pct"/>
          </w:tcPr>
          <w:p w14:paraId="3069A0EC" w14:textId="41B936AD" w:rsidR="00794250" w:rsidRPr="005F21E3" w:rsidRDefault="00000000" w:rsidP="005F21E3">
            <w:pPr>
              <w:shd w:val="clear" w:color="auto" w:fill="FFFFFF"/>
              <w:ind w:firstLine="0"/>
              <w:jc w:val="center"/>
              <w:rPr>
                <w:rFonts w:ascii="TH SarabunPSK" w:hAnsi="TH SarabunPSK" w:cs="TH SarabunPSK"/>
                <w:b/>
                <w:bCs/>
                <w:color w:val="000000"/>
                <w:sz w:val="32"/>
                <w:szCs w:val="32"/>
              </w:rPr>
            </w:pPr>
            <m:oMathPara>
              <m:oMath>
                <m:acc>
                  <m:accPr>
                    <m:chr m:val="̅"/>
                    <m:ctrlPr>
                      <w:rPr>
                        <w:rFonts w:ascii="Cambria Math" w:hAnsi="Cambria Math" w:cs="TH SarabunPSK"/>
                        <w:b/>
                        <w:bCs/>
                        <w:color w:val="000000"/>
                        <w:sz w:val="32"/>
                        <w:szCs w:val="32"/>
                      </w:rPr>
                    </m:ctrlPr>
                  </m:accPr>
                  <m:e>
                    <m:r>
                      <m:rPr>
                        <m:sty m:val="b"/>
                      </m:rPr>
                      <w:rPr>
                        <w:rFonts w:ascii="Cambria Math" w:hAnsi="Cambria Math" w:cs="Cambria Math" w:hint="cs"/>
                        <w:color w:val="000000"/>
                        <w:sz w:val="32"/>
                        <w:szCs w:val="32"/>
                        <w:cs/>
                      </w:rPr>
                      <m:t>x</m:t>
                    </m:r>
                  </m:e>
                </m:acc>
              </m:oMath>
            </m:oMathPara>
          </w:p>
        </w:tc>
        <w:tc>
          <w:tcPr>
            <w:tcW w:w="380" w:type="pct"/>
          </w:tcPr>
          <w:p w14:paraId="5F4F3C99" w14:textId="77777777" w:rsidR="00794250" w:rsidRPr="00E74E44" w:rsidRDefault="00794250" w:rsidP="007E6436">
            <w:pPr>
              <w:ind w:firstLine="0"/>
              <w:jc w:val="center"/>
              <w:rPr>
                <w:rFonts w:ascii="TH SarabunPSK" w:eastAsia="Calibri" w:hAnsi="TH SarabunPSK" w:cs="TH SarabunPSK"/>
                <w:b/>
                <w:bCs/>
                <w:color w:val="000000"/>
                <w:sz w:val="32"/>
                <w:szCs w:val="32"/>
              </w:rPr>
            </w:pPr>
            <w:r w:rsidRPr="00E74E44">
              <w:rPr>
                <w:rFonts w:ascii="TH SarabunPSK" w:eastAsia="Calibri" w:hAnsi="TH SarabunPSK" w:cs="TH SarabunPSK"/>
                <w:b/>
                <w:bCs/>
                <w:color w:val="000000"/>
                <w:sz w:val="32"/>
                <w:szCs w:val="32"/>
              </w:rPr>
              <w:t>S</w:t>
            </w:r>
            <w:r w:rsidRPr="00E74E44">
              <w:rPr>
                <w:rFonts w:ascii="TH SarabunPSK" w:eastAsia="Calibri" w:hAnsi="TH SarabunPSK" w:cs="TH SarabunPSK"/>
                <w:b/>
                <w:bCs/>
                <w:color w:val="000000"/>
                <w:sz w:val="32"/>
                <w:szCs w:val="32"/>
                <w:cs/>
              </w:rPr>
              <w:t>.</w:t>
            </w:r>
            <w:r w:rsidRPr="00E74E44">
              <w:rPr>
                <w:rFonts w:ascii="TH SarabunPSK" w:eastAsia="Calibri" w:hAnsi="TH SarabunPSK" w:cs="TH SarabunPSK"/>
                <w:b/>
                <w:bCs/>
                <w:color w:val="000000"/>
                <w:sz w:val="32"/>
                <w:szCs w:val="32"/>
              </w:rPr>
              <w:t>D</w:t>
            </w:r>
            <w:r w:rsidRPr="00E74E44">
              <w:rPr>
                <w:rFonts w:ascii="TH SarabunPSK" w:eastAsia="Calibri" w:hAnsi="TH SarabunPSK" w:cs="TH SarabunPSK"/>
                <w:b/>
                <w:bCs/>
                <w:color w:val="000000"/>
                <w:sz w:val="32"/>
                <w:szCs w:val="32"/>
                <w:cs/>
              </w:rPr>
              <w:t>.</w:t>
            </w:r>
          </w:p>
        </w:tc>
        <w:tc>
          <w:tcPr>
            <w:tcW w:w="874" w:type="pct"/>
          </w:tcPr>
          <w:p w14:paraId="7DD4A2A1" w14:textId="6362DAEE" w:rsidR="00794250" w:rsidRPr="00E74E44" w:rsidRDefault="00794250" w:rsidP="007E6436">
            <w:pPr>
              <w:ind w:firstLine="0"/>
              <w:jc w:val="center"/>
              <w:rPr>
                <w:rFonts w:ascii="TH SarabunPSK" w:eastAsia="Calibri" w:hAnsi="TH SarabunPSK" w:cs="TH SarabunPSK"/>
                <w:b/>
                <w:bCs/>
                <w:color w:val="000000"/>
                <w:sz w:val="32"/>
                <w:szCs w:val="32"/>
                <w:rtl/>
                <w:cs/>
              </w:rPr>
            </w:pPr>
            <w:r w:rsidRPr="00E74E44">
              <w:rPr>
                <w:rFonts w:ascii="TH SarabunPSK" w:eastAsia="Calibri" w:hAnsi="TH SarabunPSK" w:cs="TH SarabunPSK"/>
                <w:b/>
                <w:bCs/>
                <w:color w:val="000000"/>
                <w:sz w:val="32"/>
                <w:szCs w:val="32"/>
              </w:rPr>
              <w:t xml:space="preserve"> Level</w:t>
            </w:r>
          </w:p>
        </w:tc>
        <w:tc>
          <w:tcPr>
            <w:tcW w:w="403" w:type="pct"/>
          </w:tcPr>
          <w:p w14:paraId="1DFD008D" w14:textId="797364E9" w:rsidR="00794250" w:rsidRPr="005F21E3" w:rsidRDefault="00000000" w:rsidP="005F21E3">
            <w:pPr>
              <w:shd w:val="clear" w:color="auto" w:fill="FFFFFF"/>
              <w:ind w:firstLine="0"/>
              <w:jc w:val="center"/>
              <w:rPr>
                <w:rFonts w:ascii="TH SarabunPSK" w:hAnsi="TH SarabunPSK" w:cs="TH SarabunPSK"/>
                <w:b/>
                <w:bCs/>
                <w:color w:val="000000"/>
                <w:sz w:val="32"/>
                <w:szCs w:val="32"/>
              </w:rPr>
            </w:pPr>
            <m:oMathPara>
              <m:oMath>
                <m:acc>
                  <m:accPr>
                    <m:chr m:val="̅"/>
                    <m:ctrlPr>
                      <w:rPr>
                        <w:rFonts w:ascii="Cambria Math" w:hAnsi="Cambria Math" w:cs="TH SarabunPSK"/>
                        <w:b/>
                        <w:bCs/>
                        <w:color w:val="000000"/>
                        <w:sz w:val="32"/>
                        <w:szCs w:val="32"/>
                      </w:rPr>
                    </m:ctrlPr>
                  </m:accPr>
                  <m:e>
                    <m:r>
                      <m:rPr>
                        <m:sty m:val="b"/>
                      </m:rPr>
                      <w:rPr>
                        <w:rFonts w:ascii="Cambria Math" w:hAnsi="Cambria Math" w:cs="Cambria Math" w:hint="cs"/>
                        <w:color w:val="000000"/>
                        <w:sz w:val="32"/>
                        <w:szCs w:val="32"/>
                        <w:cs/>
                      </w:rPr>
                      <m:t>x</m:t>
                    </m:r>
                  </m:e>
                </m:acc>
              </m:oMath>
            </m:oMathPara>
          </w:p>
        </w:tc>
        <w:tc>
          <w:tcPr>
            <w:tcW w:w="380" w:type="pct"/>
          </w:tcPr>
          <w:p w14:paraId="0E0AF5BF" w14:textId="77777777" w:rsidR="00794250" w:rsidRPr="00E74E44" w:rsidRDefault="00794250" w:rsidP="007E6436">
            <w:pPr>
              <w:ind w:firstLine="0"/>
              <w:jc w:val="center"/>
              <w:rPr>
                <w:rFonts w:ascii="TH SarabunPSK" w:eastAsia="Calibri" w:hAnsi="TH SarabunPSK" w:cs="TH SarabunPSK"/>
                <w:b/>
                <w:bCs/>
                <w:color w:val="000000"/>
                <w:sz w:val="32"/>
                <w:szCs w:val="32"/>
              </w:rPr>
            </w:pPr>
            <w:r w:rsidRPr="00E74E44">
              <w:rPr>
                <w:rFonts w:ascii="TH SarabunPSK" w:eastAsia="Calibri" w:hAnsi="TH SarabunPSK" w:cs="TH SarabunPSK"/>
                <w:b/>
                <w:bCs/>
                <w:color w:val="000000"/>
                <w:sz w:val="32"/>
                <w:szCs w:val="32"/>
              </w:rPr>
              <w:t>S</w:t>
            </w:r>
            <w:r w:rsidRPr="00E74E44">
              <w:rPr>
                <w:rFonts w:ascii="TH SarabunPSK" w:eastAsia="Calibri" w:hAnsi="TH SarabunPSK" w:cs="TH SarabunPSK"/>
                <w:b/>
                <w:bCs/>
                <w:color w:val="000000"/>
                <w:sz w:val="32"/>
                <w:szCs w:val="32"/>
                <w:cs/>
              </w:rPr>
              <w:t>.</w:t>
            </w:r>
            <w:r w:rsidRPr="00E74E44">
              <w:rPr>
                <w:rFonts w:ascii="TH SarabunPSK" w:eastAsia="Calibri" w:hAnsi="TH SarabunPSK" w:cs="TH SarabunPSK"/>
                <w:b/>
                <w:bCs/>
                <w:color w:val="000000"/>
                <w:sz w:val="32"/>
                <w:szCs w:val="32"/>
              </w:rPr>
              <w:t>D</w:t>
            </w:r>
            <w:r w:rsidRPr="00E74E44">
              <w:rPr>
                <w:rFonts w:ascii="TH SarabunPSK" w:eastAsia="Calibri" w:hAnsi="TH SarabunPSK" w:cs="TH SarabunPSK"/>
                <w:b/>
                <w:bCs/>
                <w:color w:val="000000"/>
                <w:sz w:val="32"/>
                <w:szCs w:val="32"/>
                <w:cs/>
              </w:rPr>
              <w:t>.</w:t>
            </w:r>
          </w:p>
        </w:tc>
        <w:tc>
          <w:tcPr>
            <w:tcW w:w="872" w:type="pct"/>
          </w:tcPr>
          <w:p w14:paraId="55824FAA" w14:textId="340F436A" w:rsidR="00794250" w:rsidRPr="00E74E44" w:rsidRDefault="00794250" w:rsidP="007E6436">
            <w:pPr>
              <w:ind w:firstLine="0"/>
              <w:jc w:val="center"/>
              <w:rPr>
                <w:rFonts w:ascii="TH SarabunPSK" w:eastAsia="Calibri" w:hAnsi="TH SarabunPSK" w:cs="TH SarabunPSK"/>
                <w:b/>
                <w:bCs/>
                <w:color w:val="000000"/>
                <w:sz w:val="32"/>
                <w:szCs w:val="32"/>
              </w:rPr>
            </w:pPr>
            <w:r w:rsidRPr="00E74E44">
              <w:rPr>
                <w:rFonts w:ascii="TH SarabunPSK" w:eastAsia="Calibri" w:hAnsi="TH SarabunPSK" w:cs="TH SarabunPSK"/>
                <w:b/>
                <w:bCs/>
                <w:color w:val="000000"/>
                <w:sz w:val="32"/>
                <w:szCs w:val="32"/>
              </w:rPr>
              <w:t>Level</w:t>
            </w:r>
          </w:p>
        </w:tc>
      </w:tr>
      <w:tr w:rsidR="00794250" w:rsidRPr="00E74E44" w14:paraId="48BF4439" w14:textId="77777777" w:rsidTr="007E6436">
        <w:tc>
          <w:tcPr>
            <w:tcW w:w="1659" w:type="pct"/>
          </w:tcPr>
          <w:p w14:paraId="748E6483" w14:textId="77777777" w:rsidR="00794250" w:rsidRPr="00E74E44" w:rsidRDefault="00794250" w:rsidP="00794250">
            <w:pPr>
              <w:ind w:firstLine="0"/>
              <w:jc w:val="both"/>
              <w:rPr>
                <w:rFonts w:ascii="TH SarabunPSK" w:eastAsia="Calibri" w:hAnsi="TH SarabunPSK" w:cs="TH SarabunPSK"/>
                <w:color w:val="000000"/>
                <w:spacing w:val="-4"/>
                <w:sz w:val="32"/>
                <w:szCs w:val="32"/>
                <w:rtl/>
                <w:cs/>
              </w:rPr>
            </w:pPr>
            <w:r w:rsidRPr="00E74E44">
              <w:rPr>
                <w:rFonts w:ascii="TH SarabunPSK" w:eastAsia="Calibri" w:hAnsi="TH SarabunPSK" w:cs="TH SarabunPSK"/>
                <w:color w:val="000000"/>
                <w:spacing w:val="-4"/>
                <w:sz w:val="32"/>
                <w:szCs w:val="32"/>
              </w:rPr>
              <w:t>Overall Importance Level</w:t>
            </w:r>
          </w:p>
        </w:tc>
        <w:tc>
          <w:tcPr>
            <w:tcW w:w="432" w:type="pct"/>
          </w:tcPr>
          <w:p w14:paraId="15B2FB91"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3</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73</w:t>
            </w:r>
          </w:p>
        </w:tc>
        <w:tc>
          <w:tcPr>
            <w:tcW w:w="380" w:type="pct"/>
          </w:tcPr>
          <w:p w14:paraId="0E69AB8B"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0</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62</w:t>
            </w:r>
          </w:p>
        </w:tc>
        <w:tc>
          <w:tcPr>
            <w:tcW w:w="874" w:type="pct"/>
          </w:tcPr>
          <w:p w14:paraId="06E69A03" w14:textId="77777777" w:rsidR="00794250" w:rsidRPr="00E74E44" w:rsidRDefault="00794250" w:rsidP="00794250">
            <w:pPr>
              <w:ind w:firstLine="0"/>
              <w:jc w:val="center"/>
              <w:rPr>
                <w:rFonts w:ascii="TH SarabunPSK" w:eastAsia="Calibri" w:hAnsi="TH SarabunPSK" w:cs="TH SarabunPSK"/>
                <w:color w:val="000000"/>
                <w:sz w:val="32"/>
                <w:szCs w:val="32"/>
                <w:rtl/>
                <w:cs/>
              </w:rPr>
            </w:pPr>
            <w:r w:rsidRPr="00E74E44">
              <w:rPr>
                <w:rFonts w:ascii="TH SarabunPSK" w:eastAsia="Calibri" w:hAnsi="TH SarabunPSK" w:cs="TH SarabunPSK"/>
                <w:color w:val="000000"/>
                <w:sz w:val="32"/>
                <w:szCs w:val="32"/>
              </w:rPr>
              <w:t>High</w:t>
            </w:r>
          </w:p>
        </w:tc>
        <w:tc>
          <w:tcPr>
            <w:tcW w:w="403" w:type="pct"/>
          </w:tcPr>
          <w:p w14:paraId="57AF2680"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4</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21</w:t>
            </w:r>
          </w:p>
        </w:tc>
        <w:tc>
          <w:tcPr>
            <w:tcW w:w="380" w:type="pct"/>
          </w:tcPr>
          <w:p w14:paraId="7564EC4A"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0</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35</w:t>
            </w:r>
          </w:p>
        </w:tc>
        <w:tc>
          <w:tcPr>
            <w:tcW w:w="872" w:type="pct"/>
          </w:tcPr>
          <w:p w14:paraId="3BC9D363"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High</w:t>
            </w:r>
          </w:p>
        </w:tc>
      </w:tr>
      <w:tr w:rsidR="00794250" w:rsidRPr="00E74E44" w14:paraId="6DA3D105" w14:textId="77777777" w:rsidTr="007E6436">
        <w:tc>
          <w:tcPr>
            <w:tcW w:w="1659" w:type="pct"/>
          </w:tcPr>
          <w:p w14:paraId="6CA90E94" w14:textId="77777777" w:rsidR="00794250" w:rsidRPr="00E74E44" w:rsidRDefault="00794250" w:rsidP="00794250">
            <w:pPr>
              <w:ind w:firstLine="0"/>
              <w:jc w:val="both"/>
              <w:rPr>
                <w:rFonts w:ascii="TH SarabunPSK" w:eastAsia="Calibri" w:hAnsi="TH SarabunPSK" w:cs="TH SarabunPSK"/>
                <w:color w:val="000000"/>
                <w:spacing w:val="-4"/>
                <w:sz w:val="32"/>
                <w:szCs w:val="32"/>
              </w:rPr>
            </w:pPr>
            <w:r w:rsidRPr="00E74E44">
              <w:rPr>
                <w:rFonts w:ascii="TH SarabunPSK" w:eastAsia="Calibri" w:hAnsi="TH SarabunPSK" w:cs="TH SarabunPSK"/>
                <w:color w:val="000000"/>
                <w:spacing w:val="-4"/>
                <w:sz w:val="32"/>
                <w:szCs w:val="32"/>
              </w:rPr>
              <w:t>1</w:t>
            </w:r>
            <w:r w:rsidRPr="00E74E44">
              <w:rPr>
                <w:rFonts w:ascii="TH SarabunPSK" w:eastAsia="Calibri" w:hAnsi="TH SarabunPSK" w:cs="TH SarabunPSK"/>
                <w:color w:val="000000"/>
                <w:spacing w:val="-4"/>
                <w:sz w:val="32"/>
                <w:szCs w:val="32"/>
                <w:cs/>
              </w:rPr>
              <w:t>.</w:t>
            </w:r>
            <w:r w:rsidRPr="00E74E44">
              <w:rPr>
                <w:rFonts w:ascii="TH SarabunPSK" w:eastAsia="Calibri" w:hAnsi="TH SarabunPSK" w:cs="TH SarabunPSK"/>
                <w:color w:val="000000"/>
                <w:spacing w:val="-4"/>
                <w:sz w:val="32"/>
                <w:szCs w:val="32"/>
              </w:rPr>
              <w:t>Information Technology</w:t>
            </w:r>
          </w:p>
        </w:tc>
        <w:tc>
          <w:tcPr>
            <w:tcW w:w="432" w:type="pct"/>
          </w:tcPr>
          <w:p w14:paraId="2CA135BC"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3</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89</w:t>
            </w:r>
          </w:p>
        </w:tc>
        <w:tc>
          <w:tcPr>
            <w:tcW w:w="380" w:type="pct"/>
          </w:tcPr>
          <w:p w14:paraId="3F972B6A"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0</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57</w:t>
            </w:r>
          </w:p>
        </w:tc>
        <w:tc>
          <w:tcPr>
            <w:tcW w:w="874" w:type="pct"/>
          </w:tcPr>
          <w:p w14:paraId="25694B3D"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High</w:t>
            </w:r>
          </w:p>
        </w:tc>
        <w:tc>
          <w:tcPr>
            <w:tcW w:w="403" w:type="pct"/>
          </w:tcPr>
          <w:p w14:paraId="537832CF"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4</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23</w:t>
            </w:r>
          </w:p>
        </w:tc>
        <w:tc>
          <w:tcPr>
            <w:tcW w:w="380" w:type="pct"/>
          </w:tcPr>
          <w:p w14:paraId="45420C43"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0</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38</w:t>
            </w:r>
          </w:p>
        </w:tc>
        <w:tc>
          <w:tcPr>
            <w:tcW w:w="872" w:type="pct"/>
          </w:tcPr>
          <w:p w14:paraId="11DD30BF"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High</w:t>
            </w:r>
          </w:p>
        </w:tc>
      </w:tr>
      <w:tr w:rsidR="00794250" w:rsidRPr="00E74E44" w14:paraId="1533E019" w14:textId="77777777" w:rsidTr="007E6436">
        <w:tc>
          <w:tcPr>
            <w:tcW w:w="1659" w:type="pct"/>
          </w:tcPr>
          <w:p w14:paraId="4096B184" w14:textId="77777777" w:rsidR="00794250" w:rsidRPr="00E74E44" w:rsidRDefault="00794250" w:rsidP="00794250">
            <w:pPr>
              <w:ind w:right="-247" w:firstLine="0"/>
              <w:jc w:val="both"/>
              <w:rPr>
                <w:rFonts w:ascii="TH SarabunPSK" w:eastAsia="Calibri" w:hAnsi="TH SarabunPSK" w:cs="TH SarabunPSK"/>
                <w:color w:val="000000"/>
                <w:spacing w:val="-4"/>
                <w:sz w:val="32"/>
                <w:szCs w:val="32"/>
              </w:rPr>
            </w:pPr>
            <w:r w:rsidRPr="00E74E44">
              <w:rPr>
                <w:rFonts w:ascii="TH SarabunPSK" w:eastAsia="Calibri" w:hAnsi="TH SarabunPSK" w:cs="TH SarabunPSK"/>
                <w:color w:val="000000"/>
                <w:spacing w:val="-4"/>
                <w:sz w:val="32"/>
                <w:szCs w:val="32"/>
              </w:rPr>
              <w:t>2</w:t>
            </w:r>
            <w:r w:rsidRPr="00E74E44">
              <w:rPr>
                <w:rFonts w:ascii="TH SarabunPSK" w:eastAsia="Calibri" w:hAnsi="TH SarabunPSK" w:cs="TH SarabunPSK"/>
                <w:color w:val="000000"/>
                <w:spacing w:val="-4"/>
                <w:sz w:val="32"/>
                <w:szCs w:val="32"/>
                <w:cs/>
              </w:rPr>
              <w:t>.</w:t>
            </w:r>
            <w:r w:rsidRPr="00E74E44">
              <w:rPr>
                <w:rFonts w:ascii="TH SarabunPSK" w:eastAsia="Calibri" w:hAnsi="TH SarabunPSK" w:cs="TH SarabunPSK"/>
                <w:color w:val="000000"/>
                <w:spacing w:val="-4"/>
                <w:sz w:val="32"/>
                <w:szCs w:val="32"/>
              </w:rPr>
              <w:t>Organization Management</w:t>
            </w:r>
          </w:p>
        </w:tc>
        <w:tc>
          <w:tcPr>
            <w:tcW w:w="432" w:type="pct"/>
          </w:tcPr>
          <w:p w14:paraId="7024E2CD"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3</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83</w:t>
            </w:r>
          </w:p>
        </w:tc>
        <w:tc>
          <w:tcPr>
            <w:tcW w:w="380" w:type="pct"/>
          </w:tcPr>
          <w:p w14:paraId="521DC81C"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0</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71</w:t>
            </w:r>
          </w:p>
        </w:tc>
        <w:tc>
          <w:tcPr>
            <w:tcW w:w="874" w:type="pct"/>
          </w:tcPr>
          <w:p w14:paraId="5B92BAE7"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High</w:t>
            </w:r>
          </w:p>
        </w:tc>
        <w:tc>
          <w:tcPr>
            <w:tcW w:w="403" w:type="pct"/>
          </w:tcPr>
          <w:p w14:paraId="27191CDE"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4</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19</w:t>
            </w:r>
          </w:p>
        </w:tc>
        <w:tc>
          <w:tcPr>
            <w:tcW w:w="380" w:type="pct"/>
          </w:tcPr>
          <w:p w14:paraId="0975282D"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0</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40</w:t>
            </w:r>
          </w:p>
        </w:tc>
        <w:tc>
          <w:tcPr>
            <w:tcW w:w="872" w:type="pct"/>
          </w:tcPr>
          <w:p w14:paraId="6E92EA50"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High</w:t>
            </w:r>
          </w:p>
        </w:tc>
      </w:tr>
      <w:tr w:rsidR="00794250" w:rsidRPr="00E74E44" w14:paraId="44C0357F" w14:textId="77777777" w:rsidTr="007E6436">
        <w:tc>
          <w:tcPr>
            <w:tcW w:w="1659" w:type="pct"/>
          </w:tcPr>
          <w:p w14:paraId="0228DB41" w14:textId="77777777" w:rsidR="00794250" w:rsidRPr="00E74E44" w:rsidRDefault="00794250" w:rsidP="00794250">
            <w:pPr>
              <w:ind w:right="-247" w:firstLine="0"/>
              <w:jc w:val="both"/>
              <w:rPr>
                <w:rFonts w:ascii="TH SarabunPSK" w:eastAsia="Calibri" w:hAnsi="TH SarabunPSK" w:cs="TH SarabunPSK"/>
                <w:color w:val="000000"/>
                <w:spacing w:val="-4"/>
                <w:sz w:val="32"/>
                <w:szCs w:val="32"/>
                <w:rtl/>
                <w:cs/>
              </w:rPr>
            </w:pPr>
            <w:r w:rsidRPr="00E74E44">
              <w:rPr>
                <w:rFonts w:ascii="TH SarabunPSK" w:eastAsia="Calibri" w:hAnsi="TH SarabunPSK" w:cs="TH SarabunPSK"/>
                <w:color w:val="000000"/>
                <w:spacing w:val="-4"/>
                <w:sz w:val="32"/>
                <w:szCs w:val="32"/>
              </w:rPr>
              <w:t>3</w:t>
            </w:r>
            <w:r w:rsidRPr="00E74E44">
              <w:rPr>
                <w:rFonts w:ascii="TH SarabunPSK" w:eastAsia="Calibri" w:hAnsi="TH SarabunPSK" w:cs="TH SarabunPSK"/>
                <w:color w:val="000000"/>
                <w:spacing w:val="-4"/>
                <w:sz w:val="32"/>
                <w:szCs w:val="32"/>
                <w:cs/>
              </w:rPr>
              <w:t>.</w:t>
            </w:r>
            <w:r w:rsidRPr="00E74E44">
              <w:rPr>
                <w:rFonts w:ascii="TH SarabunPSK" w:eastAsia="Calibri" w:hAnsi="TH SarabunPSK" w:cs="TH SarabunPSK"/>
                <w:color w:val="000000"/>
                <w:spacing w:val="-4"/>
                <w:sz w:val="32"/>
                <w:szCs w:val="32"/>
              </w:rPr>
              <w:t>Innovation</w:t>
            </w:r>
            <w:r w:rsidRPr="00E74E44">
              <w:rPr>
                <w:rFonts w:ascii="TH SarabunPSK" w:eastAsia="Calibri" w:hAnsi="TH SarabunPSK" w:cs="TH SarabunPSK"/>
                <w:color w:val="000000"/>
                <w:spacing w:val="-4"/>
                <w:sz w:val="32"/>
                <w:szCs w:val="32"/>
                <w:cs/>
              </w:rPr>
              <w:t xml:space="preserve"> </w:t>
            </w:r>
            <w:r w:rsidRPr="00E74E44">
              <w:rPr>
                <w:rFonts w:ascii="TH SarabunPSK" w:eastAsia="Calibri" w:hAnsi="TH SarabunPSK" w:cs="TH SarabunPSK"/>
                <w:color w:val="000000"/>
                <w:spacing w:val="-4"/>
                <w:sz w:val="32"/>
                <w:szCs w:val="32"/>
              </w:rPr>
              <w:t>Management</w:t>
            </w:r>
          </w:p>
        </w:tc>
        <w:tc>
          <w:tcPr>
            <w:tcW w:w="432" w:type="pct"/>
          </w:tcPr>
          <w:p w14:paraId="746FFA9E"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3</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82</w:t>
            </w:r>
          </w:p>
        </w:tc>
        <w:tc>
          <w:tcPr>
            <w:tcW w:w="380" w:type="pct"/>
          </w:tcPr>
          <w:p w14:paraId="06EE6D79"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0</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58</w:t>
            </w:r>
          </w:p>
        </w:tc>
        <w:tc>
          <w:tcPr>
            <w:tcW w:w="874" w:type="pct"/>
          </w:tcPr>
          <w:p w14:paraId="03EA7EEC"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High</w:t>
            </w:r>
          </w:p>
        </w:tc>
        <w:tc>
          <w:tcPr>
            <w:tcW w:w="403" w:type="pct"/>
          </w:tcPr>
          <w:p w14:paraId="5613CD8B"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4</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21</w:t>
            </w:r>
          </w:p>
        </w:tc>
        <w:tc>
          <w:tcPr>
            <w:tcW w:w="380" w:type="pct"/>
          </w:tcPr>
          <w:p w14:paraId="50C134F9"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0</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41</w:t>
            </w:r>
          </w:p>
        </w:tc>
        <w:tc>
          <w:tcPr>
            <w:tcW w:w="872" w:type="pct"/>
          </w:tcPr>
          <w:p w14:paraId="1F1A0861"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High</w:t>
            </w:r>
          </w:p>
        </w:tc>
      </w:tr>
      <w:tr w:rsidR="00794250" w:rsidRPr="00E74E44" w14:paraId="64512A02" w14:textId="77777777" w:rsidTr="007E6436">
        <w:tc>
          <w:tcPr>
            <w:tcW w:w="1659" w:type="pct"/>
          </w:tcPr>
          <w:p w14:paraId="1CD13530" w14:textId="77777777" w:rsidR="00794250" w:rsidRPr="00E74E44" w:rsidRDefault="00794250" w:rsidP="00794250">
            <w:pPr>
              <w:ind w:right="-247" w:firstLine="0"/>
              <w:jc w:val="both"/>
              <w:rPr>
                <w:rFonts w:ascii="TH SarabunPSK" w:eastAsia="Calibri" w:hAnsi="TH SarabunPSK" w:cs="TH SarabunPSK"/>
                <w:color w:val="000000"/>
                <w:spacing w:val="-4"/>
                <w:sz w:val="32"/>
                <w:szCs w:val="32"/>
                <w:rtl/>
                <w:cs/>
              </w:rPr>
            </w:pPr>
            <w:r w:rsidRPr="00E74E44">
              <w:rPr>
                <w:rFonts w:ascii="TH SarabunPSK" w:eastAsia="Calibri" w:hAnsi="TH SarabunPSK" w:cs="TH SarabunPSK"/>
                <w:color w:val="000000"/>
                <w:spacing w:val="-4"/>
                <w:sz w:val="32"/>
                <w:szCs w:val="32"/>
              </w:rPr>
              <w:t>4</w:t>
            </w:r>
            <w:r w:rsidRPr="00E74E44">
              <w:rPr>
                <w:rFonts w:ascii="TH SarabunPSK" w:eastAsia="Calibri" w:hAnsi="TH SarabunPSK" w:cs="TH SarabunPSK"/>
                <w:color w:val="000000"/>
                <w:spacing w:val="-4"/>
                <w:sz w:val="32"/>
                <w:szCs w:val="32"/>
                <w:cs/>
              </w:rPr>
              <w:t xml:space="preserve">. </w:t>
            </w:r>
            <w:r w:rsidRPr="00E74E44">
              <w:rPr>
                <w:rFonts w:ascii="TH SarabunPSK" w:eastAsia="Calibri" w:hAnsi="TH SarabunPSK" w:cs="TH SarabunPSK"/>
                <w:color w:val="000000"/>
                <w:spacing w:val="-4"/>
                <w:sz w:val="32"/>
                <w:szCs w:val="32"/>
              </w:rPr>
              <w:t>M</w:t>
            </w:r>
            <w:r w:rsidRPr="00E74E44">
              <w:rPr>
                <w:rFonts w:ascii="TH SarabunPSK" w:eastAsia="Calibri" w:hAnsi="TH SarabunPSK" w:cs="TH SarabunPSK"/>
                <w:color w:val="222222"/>
                <w:spacing w:val="-4"/>
                <w:sz w:val="32"/>
                <w:szCs w:val="32"/>
                <w:shd w:val="clear" w:color="auto" w:fill="FFFFFF"/>
              </w:rPr>
              <w:t>arket Orientation</w:t>
            </w:r>
          </w:p>
        </w:tc>
        <w:tc>
          <w:tcPr>
            <w:tcW w:w="432" w:type="pct"/>
          </w:tcPr>
          <w:p w14:paraId="20F22311"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3</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77</w:t>
            </w:r>
          </w:p>
        </w:tc>
        <w:tc>
          <w:tcPr>
            <w:tcW w:w="380" w:type="pct"/>
          </w:tcPr>
          <w:p w14:paraId="04381899"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0</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76</w:t>
            </w:r>
          </w:p>
        </w:tc>
        <w:tc>
          <w:tcPr>
            <w:tcW w:w="874" w:type="pct"/>
          </w:tcPr>
          <w:p w14:paraId="77145BC1"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High</w:t>
            </w:r>
          </w:p>
        </w:tc>
        <w:tc>
          <w:tcPr>
            <w:tcW w:w="403" w:type="pct"/>
          </w:tcPr>
          <w:p w14:paraId="6310E177"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4</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20</w:t>
            </w:r>
          </w:p>
        </w:tc>
        <w:tc>
          <w:tcPr>
            <w:tcW w:w="380" w:type="pct"/>
          </w:tcPr>
          <w:p w14:paraId="19A670DE"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sz w:val="32"/>
                <w:szCs w:val="32"/>
              </w:rPr>
              <w:t>0</w:t>
            </w:r>
            <w:r w:rsidRPr="00E74E44">
              <w:rPr>
                <w:rFonts w:ascii="TH SarabunPSK" w:eastAsia="Calibri" w:hAnsi="TH SarabunPSK" w:cs="TH SarabunPSK"/>
                <w:sz w:val="32"/>
                <w:szCs w:val="32"/>
                <w:cs/>
              </w:rPr>
              <w:t>.</w:t>
            </w:r>
            <w:r w:rsidRPr="00E74E44">
              <w:rPr>
                <w:rFonts w:ascii="TH SarabunPSK" w:eastAsia="Calibri" w:hAnsi="TH SarabunPSK" w:cs="TH SarabunPSK"/>
                <w:sz w:val="32"/>
                <w:szCs w:val="32"/>
              </w:rPr>
              <w:t>44</w:t>
            </w:r>
          </w:p>
        </w:tc>
        <w:tc>
          <w:tcPr>
            <w:tcW w:w="872" w:type="pct"/>
          </w:tcPr>
          <w:p w14:paraId="2144B7F0" w14:textId="77777777" w:rsidR="00794250" w:rsidRPr="00E74E44" w:rsidRDefault="00794250" w:rsidP="00794250">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High</w:t>
            </w:r>
          </w:p>
        </w:tc>
      </w:tr>
    </w:tbl>
    <w:p w14:paraId="66E8BB66" w14:textId="77777777" w:rsidR="0046532F" w:rsidRPr="00E74E44" w:rsidRDefault="0046532F" w:rsidP="0046532F">
      <w:pPr>
        <w:widowControl w:val="0"/>
        <w:spacing w:before="100" w:beforeAutospacing="1" w:after="100" w:afterAutospacing="1"/>
        <w:jc w:val="both"/>
        <w:rPr>
          <w:rFonts w:ascii="TH SarabunPSK" w:eastAsia="Calibri" w:hAnsi="TH SarabunPSK" w:cs="TH SarabunPSK"/>
          <w:b/>
          <w:bCs/>
          <w:noProof/>
          <w:kern w:val="0"/>
          <w:sz w:val="32"/>
          <w:szCs w:val="32"/>
          <w:lang w:val="en"/>
          <w14:ligatures w14:val="none"/>
        </w:rPr>
      </w:pPr>
      <w:r w:rsidRPr="00E74E44">
        <w:rPr>
          <w:rFonts w:ascii="TH SarabunPSK" w:eastAsia="Calibri" w:hAnsi="TH SarabunPSK" w:cs="TH SarabunPSK"/>
          <w:noProof/>
          <w:kern w:val="0"/>
          <w:sz w:val="32"/>
          <w:szCs w:val="32"/>
          <w:lang w:val="en"/>
          <w14:ligatures w14:val="none"/>
        </w:rPr>
        <w:t>The findings indicate that all four approaches were highly important to both small and medium-sized and large industrial businesses. Large businesses reported higher overall importance (M = 4.21, SD = 0.35) than small and medium-sized businesses (M = 3.73, SD = 0.62). Information Technology ranked highest in both groups, followed by Organization Management, Innovation Management, and Market Orientation. Overall, the results suggest that all four approaches are important across both groups, with large businesses consistently assigning greater importance to them.</w:t>
      </w:r>
    </w:p>
    <w:p w14:paraId="35F2F095" w14:textId="21697CE2" w:rsidR="007E6436" w:rsidRPr="00E74E44" w:rsidRDefault="0068737F" w:rsidP="0068737F">
      <w:pPr>
        <w:widowControl w:val="0"/>
        <w:spacing w:before="100" w:beforeAutospacing="1" w:after="100" w:afterAutospacing="1"/>
        <w:ind w:firstLine="0"/>
        <w:jc w:val="both"/>
        <w:rPr>
          <w:rFonts w:ascii="TH SarabunPSK" w:eastAsia="Calibri" w:hAnsi="TH SarabunPSK" w:cs="TH SarabunPSK"/>
          <w:noProof/>
          <w:kern w:val="0"/>
          <w:sz w:val="32"/>
          <w:szCs w:val="32"/>
          <w14:ligatures w14:val="none"/>
        </w:rPr>
      </w:pPr>
      <w:r w:rsidRPr="00E74E44">
        <w:rPr>
          <w:rFonts w:ascii="TH SarabunPSK" w:eastAsia="Calibri" w:hAnsi="TH SarabunPSK" w:cs="TH SarabunPSK"/>
          <w:b/>
          <w:bCs/>
          <w:noProof/>
          <w:kern w:val="0"/>
          <w:sz w:val="32"/>
          <w:szCs w:val="32"/>
          <w:cs/>
          <w:lang w:val="en"/>
          <w14:ligatures w14:val="none"/>
        </w:rPr>
        <w:t xml:space="preserve">Table </w:t>
      </w:r>
      <w:r w:rsidRPr="00E74E44">
        <w:rPr>
          <w:rFonts w:ascii="TH SarabunPSK" w:eastAsia="Calibri" w:hAnsi="TH SarabunPSK" w:cs="TH SarabunPSK" w:hint="cs"/>
          <w:b/>
          <w:bCs/>
          <w:noProof/>
          <w:kern w:val="0"/>
          <w:sz w:val="32"/>
          <w:szCs w:val="32"/>
          <w:cs/>
          <w:lang w:val="en"/>
          <w14:ligatures w14:val="none"/>
        </w:rPr>
        <w:t>3</w:t>
      </w:r>
      <w:r w:rsidR="007E6436" w:rsidRPr="00E74E44">
        <w:rPr>
          <w:rFonts w:ascii="TH SarabunPSK" w:eastAsia="Calibri" w:hAnsi="TH SarabunPSK" w:cs="TH SarabunPSK" w:hint="cs"/>
          <w:noProof/>
          <w:kern w:val="0"/>
          <w:sz w:val="32"/>
          <w:szCs w:val="32"/>
          <w:cs/>
          <w:lang w:val="en"/>
          <w14:ligatures w14:val="none"/>
        </w:rPr>
        <w:t xml:space="preserve"> </w:t>
      </w:r>
      <w:r w:rsidR="007E6436" w:rsidRPr="00E74E44">
        <w:rPr>
          <w:rFonts w:ascii="TH SarabunPSK" w:eastAsia="Calibri" w:hAnsi="TH SarabunPSK" w:cs="TH SarabunPSK"/>
          <w:noProof/>
          <w:kern w:val="0"/>
          <w:sz w:val="32"/>
          <w:szCs w:val="32"/>
          <w14:ligatures w14:val="none"/>
        </w:rPr>
        <w:t xml:space="preserve">Comparison of differences in importance classified by business size, the industry overall, </w:t>
      </w:r>
      <w:r w:rsidR="007E6436" w:rsidRPr="00E74E44">
        <w:rPr>
          <w:rFonts w:ascii="TH SarabunPSK" w:eastAsia="Calibri" w:hAnsi="TH SarabunPSK" w:cs="TH SarabunPSK"/>
          <w:noProof/>
          <w:kern w:val="0"/>
          <w:sz w:val="32"/>
          <w:szCs w:val="32"/>
          <w14:ligatures w14:val="none"/>
        </w:rPr>
        <w:lastRenderedPageBreak/>
        <w:t>and by aspect.</w:t>
      </w:r>
    </w:p>
    <w:tbl>
      <w:tblPr>
        <w:tblStyle w:val="TableGrid3"/>
        <w:tblW w:w="5000" w:type="pct"/>
        <w:tblLook w:val="04A0" w:firstRow="1" w:lastRow="0" w:firstColumn="1" w:lastColumn="0" w:noHBand="0" w:noVBand="1"/>
      </w:tblPr>
      <w:tblGrid>
        <w:gridCol w:w="3894"/>
        <w:gridCol w:w="2656"/>
        <w:gridCol w:w="2654"/>
      </w:tblGrid>
      <w:tr w:rsidR="007E6436" w:rsidRPr="00E74E44" w14:paraId="5833CA6D" w14:textId="77777777" w:rsidTr="007E6436">
        <w:tc>
          <w:tcPr>
            <w:tcW w:w="2115" w:type="pct"/>
          </w:tcPr>
          <w:p w14:paraId="29A5BB07" w14:textId="35EDD39D" w:rsidR="007E6436" w:rsidRPr="00E74E44" w:rsidRDefault="007E6436" w:rsidP="00922146">
            <w:pPr>
              <w:ind w:firstLine="0"/>
              <w:jc w:val="center"/>
              <w:rPr>
                <w:rFonts w:ascii="TH SarabunPSK" w:eastAsia="Calibri" w:hAnsi="TH SarabunPSK" w:cs="TH SarabunPSK"/>
                <w:b/>
                <w:bCs/>
                <w:sz w:val="32"/>
                <w:szCs w:val="32"/>
              </w:rPr>
            </w:pPr>
            <w:r w:rsidRPr="00E74E44">
              <w:rPr>
                <w:rFonts w:ascii="TH SarabunPSK" w:eastAsia="Calibri" w:hAnsi="TH SarabunPSK" w:cs="TH SarabunPSK"/>
                <w:b/>
                <w:bCs/>
                <w:sz w:val="32"/>
                <w:szCs w:val="32"/>
              </w:rPr>
              <w:t>Approaches</w:t>
            </w:r>
          </w:p>
        </w:tc>
        <w:tc>
          <w:tcPr>
            <w:tcW w:w="1443" w:type="pct"/>
          </w:tcPr>
          <w:p w14:paraId="5604D2E9" w14:textId="77777777" w:rsidR="007E6436" w:rsidRPr="00E74E44" w:rsidRDefault="007E6436" w:rsidP="00922146">
            <w:pPr>
              <w:ind w:firstLine="0"/>
              <w:jc w:val="center"/>
              <w:rPr>
                <w:rFonts w:ascii="TH SarabunPSK" w:eastAsia="Calibri" w:hAnsi="TH SarabunPSK" w:cs="TH SarabunPSK"/>
                <w:b/>
                <w:bCs/>
                <w:color w:val="000000"/>
                <w:sz w:val="32"/>
                <w:szCs w:val="32"/>
              </w:rPr>
            </w:pPr>
            <w:r w:rsidRPr="00E74E44">
              <w:rPr>
                <w:rFonts w:ascii="TH SarabunPSK" w:eastAsia="Calibri" w:hAnsi="TH SarabunPSK" w:cs="TH SarabunPSK"/>
                <w:b/>
                <w:bCs/>
                <w:color w:val="000000"/>
                <w:sz w:val="32"/>
                <w:szCs w:val="32"/>
              </w:rPr>
              <w:t>t</w:t>
            </w:r>
            <w:r w:rsidRPr="00E74E44">
              <w:rPr>
                <w:rFonts w:ascii="TH SarabunPSK" w:eastAsia="Calibri" w:hAnsi="TH SarabunPSK" w:cs="TH SarabunPSK"/>
                <w:b/>
                <w:bCs/>
                <w:color w:val="000000"/>
                <w:sz w:val="32"/>
                <w:szCs w:val="32"/>
                <w:cs/>
              </w:rPr>
              <w:t>-</w:t>
            </w:r>
            <w:r w:rsidRPr="00E74E44">
              <w:rPr>
                <w:rFonts w:ascii="TH SarabunPSK" w:eastAsia="Calibri" w:hAnsi="TH SarabunPSK" w:cs="TH SarabunPSK"/>
                <w:b/>
                <w:bCs/>
                <w:color w:val="000000"/>
                <w:sz w:val="32"/>
                <w:szCs w:val="32"/>
              </w:rPr>
              <w:t>value</w:t>
            </w:r>
          </w:p>
        </w:tc>
        <w:tc>
          <w:tcPr>
            <w:tcW w:w="1442" w:type="pct"/>
          </w:tcPr>
          <w:p w14:paraId="121C068B" w14:textId="77777777" w:rsidR="007E6436" w:rsidRPr="00E74E44" w:rsidRDefault="007E6436" w:rsidP="00922146">
            <w:pPr>
              <w:ind w:firstLine="0"/>
              <w:jc w:val="center"/>
              <w:rPr>
                <w:rFonts w:ascii="TH SarabunPSK" w:eastAsia="Calibri" w:hAnsi="TH SarabunPSK" w:cs="TH SarabunPSK"/>
                <w:b/>
                <w:bCs/>
                <w:color w:val="000000"/>
                <w:sz w:val="32"/>
                <w:szCs w:val="32"/>
              </w:rPr>
            </w:pPr>
            <w:r w:rsidRPr="00E74E44">
              <w:rPr>
                <w:rFonts w:ascii="TH SarabunPSK" w:eastAsia="Calibri" w:hAnsi="TH SarabunPSK" w:cs="TH SarabunPSK"/>
                <w:b/>
                <w:bCs/>
                <w:color w:val="000000"/>
                <w:sz w:val="32"/>
                <w:szCs w:val="32"/>
              </w:rPr>
              <w:t>p</w:t>
            </w:r>
            <w:r w:rsidRPr="00E74E44">
              <w:rPr>
                <w:rFonts w:ascii="TH SarabunPSK" w:eastAsia="Calibri" w:hAnsi="TH SarabunPSK" w:cs="TH SarabunPSK"/>
                <w:b/>
                <w:bCs/>
                <w:color w:val="000000"/>
                <w:sz w:val="32"/>
                <w:szCs w:val="32"/>
                <w:cs/>
              </w:rPr>
              <w:t>-</w:t>
            </w:r>
            <w:r w:rsidRPr="00E74E44">
              <w:rPr>
                <w:rFonts w:ascii="TH SarabunPSK" w:eastAsia="Calibri" w:hAnsi="TH SarabunPSK" w:cs="TH SarabunPSK"/>
                <w:b/>
                <w:bCs/>
                <w:color w:val="000000"/>
                <w:sz w:val="32"/>
                <w:szCs w:val="32"/>
              </w:rPr>
              <w:t>value</w:t>
            </w:r>
          </w:p>
        </w:tc>
      </w:tr>
      <w:tr w:rsidR="007E6436" w:rsidRPr="00E74E44" w14:paraId="15E8B9CC" w14:textId="77777777" w:rsidTr="007E6436">
        <w:tc>
          <w:tcPr>
            <w:tcW w:w="2115" w:type="pct"/>
          </w:tcPr>
          <w:p w14:paraId="55E99FD2" w14:textId="77777777" w:rsidR="007E6436" w:rsidRPr="00E74E44" w:rsidRDefault="007E6436" w:rsidP="007E6436">
            <w:pPr>
              <w:ind w:firstLine="0"/>
              <w:jc w:val="both"/>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Overall Importance Level</w:t>
            </w:r>
          </w:p>
        </w:tc>
        <w:tc>
          <w:tcPr>
            <w:tcW w:w="1443" w:type="pct"/>
          </w:tcPr>
          <w:p w14:paraId="7EA52E86" w14:textId="77777777" w:rsidR="007E6436" w:rsidRPr="00E74E44" w:rsidRDefault="007E6436" w:rsidP="007E6436">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9</w:t>
            </w: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36</w:t>
            </w:r>
          </w:p>
        </w:tc>
        <w:tc>
          <w:tcPr>
            <w:tcW w:w="1442" w:type="pct"/>
          </w:tcPr>
          <w:p w14:paraId="21F6D8D2" w14:textId="77777777" w:rsidR="007E6436" w:rsidRPr="00E74E44" w:rsidRDefault="007E6436" w:rsidP="007E6436">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0</w:t>
            </w: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00</w:t>
            </w:r>
            <w:r w:rsidRPr="00E74E44">
              <w:rPr>
                <w:rFonts w:ascii="TH SarabunPSK" w:eastAsia="Calibri" w:hAnsi="TH SarabunPSK" w:cs="TH SarabunPSK"/>
                <w:color w:val="000000"/>
                <w:sz w:val="32"/>
                <w:szCs w:val="32"/>
                <w:cs/>
              </w:rPr>
              <w:t>*</w:t>
            </w:r>
          </w:p>
        </w:tc>
      </w:tr>
      <w:tr w:rsidR="007E6436" w:rsidRPr="00E74E44" w14:paraId="745D3458" w14:textId="77777777" w:rsidTr="007E6436">
        <w:tc>
          <w:tcPr>
            <w:tcW w:w="2115" w:type="pct"/>
          </w:tcPr>
          <w:p w14:paraId="1C2C81DB" w14:textId="77777777" w:rsidR="007E6436" w:rsidRPr="00E74E44" w:rsidRDefault="007E6436" w:rsidP="007E6436">
            <w:pPr>
              <w:ind w:firstLine="0"/>
              <w:jc w:val="both"/>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1</w:t>
            </w:r>
            <w:r w:rsidRPr="00E74E44">
              <w:rPr>
                <w:rFonts w:ascii="TH SarabunPSK" w:eastAsia="Calibri" w:hAnsi="TH SarabunPSK" w:cs="TH SarabunPSK"/>
                <w:color w:val="000000"/>
                <w:sz w:val="32"/>
                <w:szCs w:val="32"/>
                <w:cs/>
              </w:rPr>
              <w:t xml:space="preserve">. </w:t>
            </w:r>
            <w:r w:rsidRPr="00E74E44">
              <w:rPr>
                <w:rFonts w:ascii="TH SarabunPSK" w:eastAsia="Calibri" w:hAnsi="TH SarabunPSK" w:cs="TH SarabunPSK"/>
                <w:color w:val="000000"/>
                <w:sz w:val="32"/>
                <w:szCs w:val="32"/>
              </w:rPr>
              <w:t>Information Technology</w:t>
            </w:r>
          </w:p>
        </w:tc>
        <w:tc>
          <w:tcPr>
            <w:tcW w:w="1443" w:type="pct"/>
          </w:tcPr>
          <w:p w14:paraId="727E719E" w14:textId="77777777" w:rsidR="007E6436" w:rsidRPr="00E74E44" w:rsidRDefault="007E6436" w:rsidP="007E6436">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7</w:t>
            </w: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07</w:t>
            </w:r>
          </w:p>
        </w:tc>
        <w:tc>
          <w:tcPr>
            <w:tcW w:w="1442" w:type="pct"/>
          </w:tcPr>
          <w:p w14:paraId="77D9AA0A" w14:textId="77777777" w:rsidR="007E6436" w:rsidRPr="00E74E44" w:rsidRDefault="007E6436" w:rsidP="007E6436">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0</w:t>
            </w: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00</w:t>
            </w:r>
            <w:r w:rsidRPr="00E74E44">
              <w:rPr>
                <w:rFonts w:ascii="TH SarabunPSK" w:eastAsia="Calibri" w:hAnsi="TH SarabunPSK" w:cs="TH SarabunPSK"/>
                <w:color w:val="000000"/>
                <w:sz w:val="32"/>
                <w:szCs w:val="32"/>
                <w:cs/>
              </w:rPr>
              <w:t>*</w:t>
            </w:r>
          </w:p>
        </w:tc>
      </w:tr>
      <w:tr w:rsidR="007E6436" w:rsidRPr="00E74E44" w14:paraId="242F7416" w14:textId="77777777" w:rsidTr="007E6436">
        <w:tc>
          <w:tcPr>
            <w:tcW w:w="2115" w:type="pct"/>
          </w:tcPr>
          <w:p w14:paraId="36AE17C5" w14:textId="77777777" w:rsidR="007E6436" w:rsidRPr="00E74E44" w:rsidRDefault="007E6436" w:rsidP="007E6436">
            <w:pPr>
              <w:ind w:firstLine="0"/>
              <w:jc w:val="both"/>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2</w:t>
            </w:r>
            <w:r w:rsidRPr="00E74E44">
              <w:rPr>
                <w:rFonts w:ascii="TH SarabunPSK" w:eastAsia="Calibri" w:hAnsi="TH SarabunPSK" w:cs="TH SarabunPSK"/>
                <w:color w:val="000000"/>
                <w:sz w:val="32"/>
                <w:szCs w:val="32"/>
                <w:cs/>
              </w:rPr>
              <w:t xml:space="preserve">. </w:t>
            </w:r>
            <w:r w:rsidRPr="00E74E44">
              <w:rPr>
                <w:rFonts w:ascii="TH SarabunPSK" w:eastAsia="Calibri" w:hAnsi="TH SarabunPSK" w:cs="TH SarabunPSK"/>
                <w:color w:val="000000"/>
                <w:sz w:val="32"/>
                <w:szCs w:val="32"/>
              </w:rPr>
              <w:t>Organization Management</w:t>
            </w:r>
          </w:p>
        </w:tc>
        <w:tc>
          <w:tcPr>
            <w:tcW w:w="1443" w:type="pct"/>
          </w:tcPr>
          <w:p w14:paraId="4FD2A786" w14:textId="77777777" w:rsidR="007E6436" w:rsidRPr="00E74E44" w:rsidRDefault="007E6436" w:rsidP="007E6436">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10</w:t>
            </w: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87</w:t>
            </w:r>
          </w:p>
        </w:tc>
        <w:tc>
          <w:tcPr>
            <w:tcW w:w="1442" w:type="pct"/>
          </w:tcPr>
          <w:p w14:paraId="5F719A0B" w14:textId="77777777" w:rsidR="007E6436" w:rsidRPr="00E74E44" w:rsidRDefault="007E6436" w:rsidP="007E6436">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0</w:t>
            </w: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00</w:t>
            </w:r>
            <w:r w:rsidRPr="00E74E44">
              <w:rPr>
                <w:rFonts w:ascii="TH SarabunPSK" w:eastAsia="Calibri" w:hAnsi="TH SarabunPSK" w:cs="TH SarabunPSK"/>
                <w:color w:val="000000"/>
                <w:sz w:val="32"/>
                <w:szCs w:val="32"/>
                <w:cs/>
              </w:rPr>
              <w:t>*</w:t>
            </w:r>
          </w:p>
        </w:tc>
      </w:tr>
      <w:tr w:rsidR="007E6436" w:rsidRPr="00E74E44" w14:paraId="3E76957B" w14:textId="77777777" w:rsidTr="007E6436">
        <w:tc>
          <w:tcPr>
            <w:tcW w:w="2115" w:type="pct"/>
          </w:tcPr>
          <w:p w14:paraId="4B852C89" w14:textId="77777777" w:rsidR="007E6436" w:rsidRPr="00E74E44" w:rsidRDefault="007E6436" w:rsidP="007E6436">
            <w:pPr>
              <w:ind w:firstLine="0"/>
              <w:jc w:val="both"/>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3</w:t>
            </w:r>
            <w:r w:rsidRPr="00E74E44">
              <w:rPr>
                <w:rFonts w:ascii="TH SarabunPSK" w:eastAsia="Calibri" w:hAnsi="TH SarabunPSK" w:cs="TH SarabunPSK"/>
                <w:color w:val="000000"/>
                <w:sz w:val="32"/>
                <w:szCs w:val="32"/>
                <w:cs/>
              </w:rPr>
              <w:t xml:space="preserve">. </w:t>
            </w:r>
            <w:r w:rsidRPr="00E74E44">
              <w:rPr>
                <w:rFonts w:ascii="TH SarabunPSK" w:eastAsia="Calibri" w:hAnsi="TH SarabunPSK" w:cs="TH SarabunPSK"/>
                <w:color w:val="000000"/>
                <w:sz w:val="32"/>
                <w:szCs w:val="32"/>
              </w:rPr>
              <w:t>Innovation</w:t>
            </w:r>
            <w:r w:rsidRPr="00E74E44">
              <w:rPr>
                <w:rFonts w:ascii="TH SarabunPSK" w:eastAsia="Calibri" w:hAnsi="TH SarabunPSK" w:cs="TH SarabunPSK"/>
                <w:color w:val="000000"/>
                <w:sz w:val="32"/>
                <w:szCs w:val="32"/>
                <w:cs/>
              </w:rPr>
              <w:t xml:space="preserve"> </w:t>
            </w:r>
            <w:r w:rsidRPr="00E74E44">
              <w:rPr>
                <w:rFonts w:ascii="TH SarabunPSK" w:eastAsia="Calibri" w:hAnsi="TH SarabunPSK" w:cs="TH SarabunPSK"/>
                <w:color w:val="000000"/>
                <w:sz w:val="32"/>
                <w:szCs w:val="32"/>
              </w:rPr>
              <w:t>Management</w:t>
            </w:r>
          </w:p>
        </w:tc>
        <w:tc>
          <w:tcPr>
            <w:tcW w:w="1443" w:type="pct"/>
          </w:tcPr>
          <w:p w14:paraId="4F0A549E" w14:textId="77777777" w:rsidR="007E6436" w:rsidRPr="00E74E44" w:rsidRDefault="007E6436" w:rsidP="007E6436">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8</w:t>
            </w: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08</w:t>
            </w:r>
          </w:p>
        </w:tc>
        <w:tc>
          <w:tcPr>
            <w:tcW w:w="1442" w:type="pct"/>
          </w:tcPr>
          <w:p w14:paraId="5A5D0ADD" w14:textId="77777777" w:rsidR="007E6436" w:rsidRPr="00E74E44" w:rsidRDefault="007E6436" w:rsidP="007E6436">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0</w:t>
            </w: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00</w:t>
            </w:r>
            <w:r w:rsidRPr="00E74E44">
              <w:rPr>
                <w:rFonts w:ascii="TH SarabunPSK" w:eastAsia="Calibri" w:hAnsi="TH SarabunPSK" w:cs="TH SarabunPSK"/>
                <w:color w:val="000000"/>
                <w:sz w:val="32"/>
                <w:szCs w:val="32"/>
                <w:cs/>
              </w:rPr>
              <w:t>*</w:t>
            </w:r>
          </w:p>
        </w:tc>
      </w:tr>
      <w:tr w:rsidR="007E6436" w:rsidRPr="00E74E44" w14:paraId="1036D9F3" w14:textId="77777777" w:rsidTr="007E6436">
        <w:tc>
          <w:tcPr>
            <w:tcW w:w="2115" w:type="pct"/>
          </w:tcPr>
          <w:p w14:paraId="66515750" w14:textId="77777777" w:rsidR="007E6436" w:rsidRPr="00E74E44" w:rsidRDefault="007E6436" w:rsidP="007E6436">
            <w:pPr>
              <w:ind w:firstLine="0"/>
              <w:jc w:val="both"/>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4</w:t>
            </w:r>
            <w:r w:rsidRPr="00E74E44">
              <w:rPr>
                <w:rFonts w:ascii="TH SarabunPSK" w:eastAsia="Calibri" w:hAnsi="TH SarabunPSK" w:cs="TH SarabunPSK"/>
                <w:color w:val="000000"/>
                <w:sz w:val="32"/>
                <w:szCs w:val="32"/>
                <w:cs/>
              </w:rPr>
              <w:t xml:space="preserve">. </w:t>
            </w:r>
            <w:r w:rsidRPr="00E74E44">
              <w:rPr>
                <w:rFonts w:ascii="TH SarabunPSK" w:eastAsia="Calibri" w:hAnsi="TH SarabunPSK" w:cs="TH SarabunPSK"/>
                <w:color w:val="000000"/>
                <w:sz w:val="32"/>
                <w:szCs w:val="32"/>
              </w:rPr>
              <w:t>M</w:t>
            </w:r>
            <w:r w:rsidRPr="00E74E44">
              <w:rPr>
                <w:rFonts w:ascii="TH SarabunPSK" w:eastAsia="Calibri" w:hAnsi="TH SarabunPSK" w:cs="TH SarabunPSK"/>
                <w:color w:val="222222"/>
                <w:sz w:val="32"/>
                <w:szCs w:val="32"/>
                <w:shd w:val="clear" w:color="auto" w:fill="FFFFFF"/>
              </w:rPr>
              <w:t>arket Orientation</w:t>
            </w:r>
          </w:p>
        </w:tc>
        <w:tc>
          <w:tcPr>
            <w:tcW w:w="1443" w:type="pct"/>
          </w:tcPr>
          <w:p w14:paraId="598F8AC7" w14:textId="77777777" w:rsidR="007E6436" w:rsidRPr="00E74E44" w:rsidRDefault="007E6436" w:rsidP="007E6436">
            <w:pPr>
              <w:ind w:firstLine="0"/>
              <w:jc w:val="center"/>
              <w:rPr>
                <w:rFonts w:ascii="TH SarabunPSK" w:eastAsia="Calibri" w:hAnsi="TH SarabunPSK" w:cs="TH SarabunPSK"/>
                <w:color w:val="000000"/>
                <w:sz w:val="32"/>
                <w:szCs w:val="32"/>
                <w:rtl/>
                <w:cs/>
              </w:rPr>
            </w:pP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8</w:t>
            </w: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05</w:t>
            </w:r>
          </w:p>
        </w:tc>
        <w:tc>
          <w:tcPr>
            <w:tcW w:w="1442" w:type="pct"/>
          </w:tcPr>
          <w:p w14:paraId="72CBD1A7" w14:textId="77777777" w:rsidR="007E6436" w:rsidRPr="00E74E44" w:rsidRDefault="007E6436" w:rsidP="007E6436">
            <w:pPr>
              <w:ind w:firstLine="0"/>
              <w:jc w:val="center"/>
              <w:rPr>
                <w:rFonts w:ascii="TH SarabunPSK" w:eastAsia="Calibri" w:hAnsi="TH SarabunPSK" w:cs="TH SarabunPSK"/>
                <w:color w:val="000000"/>
                <w:sz w:val="32"/>
                <w:szCs w:val="32"/>
              </w:rPr>
            </w:pPr>
            <w:r w:rsidRPr="00E74E44">
              <w:rPr>
                <w:rFonts w:ascii="TH SarabunPSK" w:eastAsia="Calibri" w:hAnsi="TH SarabunPSK" w:cs="TH SarabunPSK"/>
                <w:color w:val="000000"/>
                <w:sz w:val="32"/>
                <w:szCs w:val="32"/>
              </w:rPr>
              <w:t>0</w:t>
            </w:r>
            <w:r w:rsidRPr="00E74E44">
              <w:rPr>
                <w:rFonts w:ascii="TH SarabunPSK" w:eastAsia="Calibri" w:hAnsi="TH SarabunPSK" w:cs="TH SarabunPSK"/>
                <w:color w:val="000000"/>
                <w:sz w:val="32"/>
                <w:szCs w:val="32"/>
                <w:cs/>
              </w:rPr>
              <w:t>.</w:t>
            </w:r>
            <w:r w:rsidRPr="00E74E44">
              <w:rPr>
                <w:rFonts w:ascii="TH SarabunPSK" w:eastAsia="Calibri" w:hAnsi="TH SarabunPSK" w:cs="TH SarabunPSK"/>
                <w:color w:val="000000"/>
                <w:sz w:val="32"/>
                <w:szCs w:val="32"/>
              </w:rPr>
              <w:t>00</w:t>
            </w:r>
            <w:r w:rsidRPr="00E74E44">
              <w:rPr>
                <w:rFonts w:ascii="TH SarabunPSK" w:eastAsia="Calibri" w:hAnsi="TH SarabunPSK" w:cs="TH SarabunPSK"/>
                <w:color w:val="000000"/>
                <w:sz w:val="32"/>
                <w:szCs w:val="32"/>
                <w:cs/>
              </w:rPr>
              <w:t>*</w:t>
            </w:r>
          </w:p>
        </w:tc>
      </w:tr>
    </w:tbl>
    <w:p w14:paraId="4260E9EF" w14:textId="1AFB58A8" w:rsidR="0046532F" w:rsidRPr="00E74E44" w:rsidRDefault="0046532F" w:rsidP="0046532F">
      <w:pPr>
        <w:spacing w:before="100" w:beforeAutospacing="1" w:line="259" w:lineRule="auto"/>
        <w:rPr>
          <w:rFonts w:ascii="TH SarabunPSK" w:eastAsia="Calibri" w:hAnsi="TH SarabunPSK" w:cs="TH SarabunPSK"/>
          <w:noProof/>
          <w:kern w:val="0"/>
          <w:sz w:val="32"/>
          <w:szCs w:val="32"/>
          <w14:ligatures w14:val="none"/>
        </w:rPr>
      </w:pPr>
      <w:r w:rsidRPr="00E74E44">
        <w:rPr>
          <w:rFonts w:ascii="TH SarabunPSK" w:eastAsia="Calibri" w:hAnsi="TH SarabunPSK" w:cs="TH SarabunPSK"/>
          <w:noProof/>
          <w:kern w:val="0"/>
          <w:sz w:val="32"/>
          <w:szCs w:val="32"/>
          <w14:ligatures w14:val="none"/>
        </w:rPr>
        <w:t>Table 3 shows that the overall importance level differed significantly from the reference value (t = −9.36, p &lt; 0.001). All four dimensions also showed significant differences (p &lt; 0.001). Organization Management had the largest absolute t-value (−10.87), followed by Innovation Management (−8.08), Market Orientation (−8.05), and Information Technology (−7.07). Thus, Organization Management demonstrated the strongest difference in importance, while Information Technology showed the smallest.</w:t>
      </w:r>
    </w:p>
    <w:p w14:paraId="7A13A584" w14:textId="77777777" w:rsidR="0046532F" w:rsidRPr="00E74E44" w:rsidRDefault="0046532F" w:rsidP="0046532F">
      <w:pPr>
        <w:spacing w:before="100" w:beforeAutospacing="1" w:after="100" w:afterAutospacing="1" w:line="259" w:lineRule="auto"/>
        <w:rPr>
          <w:rFonts w:ascii="TH SarabunPSK" w:eastAsia="Calibri" w:hAnsi="TH SarabunPSK" w:cs="TH SarabunPSK"/>
          <w:b/>
          <w:bCs/>
          <w:noProof/>
          <w:kern w:val="0"/>
          <w:sz w:val="32"/>
          <w:szCs w:val="32"/>
          <w14:ligatures w14:val="none"/>
        </w:rPr>
      </w:pPr>
      <w:r w:rsidRPr="00E74E44">
        <w:rPr>
          <w:rFonts w:ascii="TH SarabunPSK" w:eastAsia="Calibri" w:hAnsi="TH SarabunPSK" w:cs="TH SarabunPSK"/>
          <w:b/>
          <w:bCs/>
          <w:noProof/>
          <w:kern w:val="0"/>
          <w:sz w:val="32"/>
          <w:szCs w:val="32"/>
          <w14:ligatures w14:val="none"/>
        </w:rPr>
        <w:t>Hypothesis Testing Results</w:t>
      </w:r>
    </w:p>
    <w:p w14:paraId="46624274" w14:textId="473E9FD3" w:rsidR="0046532F" w:rsidRPr="00E74E44" w:rsidRDefault="0046532F" w:rsidP="0046532F">
      <w:pPr>
        <w:spacing w:line="259" w:lineRule="auto"/>
        <w:rPr>
          <w:rFonts w:ascii="TH SarabunPSK" w:eastAsia="Calibri" w:hAnsi="TH SarabunPSK" w:cs="TH SarabunPSK"/>
          <w:noProof/>
          <w:kern w:val="0"/>
          <w:sz w:val="32"/>
          <w:szCs w:val="32"/>
          <w14:ligatures w14:val="none"/>
        </w:rPr>
      </w:pPr>
      <w:r w:rsidRPr="00E74E44">
        <w:rPr>
          <w:rFonts w:ascii="TH SarabunPSK" w:eastAsia="Calibri" w:hAnsi="TH SarabunPSK" w:cs="TH SarabunPSK"/>
          <w:noProof/>
          <w:kern w:val="0"/>
          <w:sz w:val="32"/>
          <w:szCs w:val="32"/>
          <w14:ligatures w14:val="none"/>
        </w:rPr>
        <w:t>The hypothesis testing results support all five proposed relationships in the structural equation model. Specifically, information technology positively and directly affects organizational innovation (H1) and market orientation (H2), while organizational management positively affects organizational innovation (H3) and market orientation (H4). In addition, organizational innovation has a positive direct effect on market orientation (H5).</w:t>
      </w:r>
    </w:p>
    <w:p w14:paraId="5EFE753C" w14:textId="7AAF4D38" w:rsidR="00D62145" w:rsidRPr="00E74E44" w:rsidRDefault="0046532F" w:rsidP="0046532F">
      <w:pPr>
        <w:spacing w:line="259" w:lineRule="auto"/>
        <w:rPr>
          <w:rFonts w:ascii="TH SarabunPSK" w:hAnsi="TH SarabunPSK" w:cs="TH SarabunPSK"/>
          <w:b/>
          <w:bCs/>
          <w:sz w:val="32"/>
          <w:szCs w:val="32"/>
        </w:rPr>
      </w:pPr>
      <w:r w:rsidRPr="00E74E44">
        <w:rPr>
          <w:rFonts w:ascii="TH SarabunPSK" w:eastAsia="Calibri" w:hAnsi="TH SarabunPSK" w:cs="TH SarabunPSK"/>
          <w:noProof/>
          <w:kern w:val="0"/>
          <w:sz w:val="32"/>
          <w:szCs w:val="32"/>
          <w14:ligatures w14:val="none"/>
        </w:rPr>
        <w:t>These findings indicate that effective information technology and organizational management contribute significantly to organizational innovation and market orientation. Furthermore, organizational innovation strengthens an organization’s ability to respond to changing market needs. Overall, the results highlight the importance of integrating technological capabilities, effective management, and innovation to create added value and achieve sustainable competitive advantage in the rapidly evolving esports industry.</w:t>
      </w:r>
    </w:p>
    <w:p w14:paraId="006DD8F2" w14:textId="64D1C84F" w:rsidR="00922146" w:rsidRPr="00E74E44" w:rsidRDefault="00781FF9" w:rsidP="00D4512E">
      <w:pPr>
        <w:spacing w:before="100" w:beforeAutospacing="1" w:after="100" w:afterAutospacing="1" w:line="259" w:lineRule="auto"/>
        <w:ind w:firstLine="0"/>
        <w:rPr>
          <w:rFonts w:ascii="TH SarabunPSK" w:hAnsi="TH SarabunPSK" w:cs="TH SarabunPSK"/>
          <w:b/>
          <w:bCs/>
          <w:sz w:val="32"/>
          <w:szCs w:val="32"/>
        </w:rPr>
      </w:pPr>
      <w:r w:rsidRPr="00E74E44">
        <w:rPr>
          <w:rFonts w:ascii="TH SarabunPSK" w:hAnsi="TH SarabunPSK" w:cs="TH SarabunPSK"/>
          <w:b/>
          <w:bCs/>
          <w:sz w:val="32"/>
          <w:szCs w:val="32"/>
        </w:rPr>
        <w:lastRenderedPageBreak/>
        <w:t>Discussion</w:t>
      </w:r>
    </w:p>
    <w:p w14:paraId="106167A0" w14:textId="7B726C52" w:rsidR="0046532F" w:rsidRPr="00E74E44" w:rsidRDefault="0046532F" w:rsidP="0046532F">
      <w:pPr>
        <w:spacing w:before="100" w:beforeAutospacing="1" w:after="100" w:afterAutospacing="1"/>
        <w:rPr>
          <w:rFonts w:ascii="TH SarabunPSK" w:hAnsi="TH SarabunPSK" w:cs="TH SarabunPSK"/>
          <w:sz w:val="32"/>
          <w:szCs w:val="32"/>
        </w:rPr>
      </w:pPr>
      <w:r w:rsidRPr="00E74E44">
        <w:rPr>
          <w:rFonts w:ascii="TH SarabunPSK" w:hAnsi="TH SarabunPSK" w:cs="TH SarabunPSK"/>
          <w:sz w:val="32"/>
          <w:szCs w:val="32"/>
        </w:rPr>
        <w:t>The findings regarding approaches to creating added value and achieving sustainable competitiveness in the esports industry can be discussed across four key dimensions: information technology, organizational management, innovation, and market orientation.</w:t>
      </w:r>
    </w:p>
    <w:p w14:paraId="03D12EEF" w14:textId="6FB29294" w:rsidR="0046532F" w:rsidRPr="00E74E44" w:rsidRDefault="0046532F" w:rsidP="0046532F">
      <w:pPr>
        <w:spacing w:before="100" w:beforeAutospacing="1" w:after="100" w:afterAutospacing="1"/>
        <w:rPr>
          <w:rFonts w:ascii="TH SarabunPSK" w:hAnsi="TH SarabunPSK" w:cs="TH SarabunPSK"/>
          <w:b/>
          <w:bCs/>
          <w:sz w:val="32"/>
          <w:szCs w:val="32"/>
        </w:rPr>
      </w:pPr>
      <w:r w:rsidRPr="00E74E44">
        <w:rPr>
          <w:rFonts w:ascii="TH SarabunPSK" w:hAnsi="TH SarabunPSK" w:cs="TH SarabunPSK"/>
          <w:b/>
          <w:bCs/>
          <w:sz w:val="32"/>
          <w:szCs w:val="32"/>
        </w:rPr>
        <w:t>Information Technology</w:t>
      </w:r>
    </w:p>
    <w:p w14:paraId="0E86A388" w14:textId="7EDCF525" w:rsidR="0046532F" w:rsidRPr="00E74E44" w:rsidRDefault="0046532F" w:rsidP="0046532F">
      <w:pPr>
        <w:spacing w:before="100" w:beforeAutospacing="1" w:after="100" w:afterAutospacing="1"/>
        <w:rPr>
          <w:rFonts w:ascii="TH SarabunPSK" w:hAnsi="TH SarabunPSK" w:cs="TH SarabunPSK"/>
          <w:sz w:val="32"/>
          <w:szCs w:val="32"/>
        </w:rPr>
      </w:pPr>
      <w:r w:rsidRPr="00E74E44">
        <w:rPr>
          <w:rFonts w:ascii="TH SarabunPSK" w:hAnsi="TH SarabunPSK" w:cs="TH SarabunPSK"/>
          <w:sz w:val="32"/>
          <w:szCs w:val="32"/>
        </w:rPr>
        <w:t>Information technology plays a fundamental role in creating added value and strengthening the competitiveness of organizations in the esports industry. Esports organizations increasingly prioritize the establishment of secure access rights to sensitive information to ensure data protection while enabling efficient information sharing across departments. The implementation of robust data backup systems is also essential for minimizing the risk of data loss. Furthermore, the transition from paper-based documentation to electronic data storage can streamline organizational processes, improve accessibility, and reduce operational costs (</w:t>
      </w:r>
      <w:proofErr w:type="spellStart"/>
      <w:r w:rsidRPr="00E74E44">
        <w:rPr>
          <w:rFonts w:ascii="TH SarabunPSK" w:hAnsi="TH SarabunPSK" w:cs="TH SarabunPSK"/>
          <w:sz w:val="32"/>
          <w:szCs w:val="32"/>
        </w:rPr>
        <w:t>Sawangrat</w:t>
      </w:r>
      <w:proofErr w:type="spellEnd"/>
      <w:r w:rsidRPr="00E74E44">
        <w:rPr>
          <w:rFonts w:ascii="TH SarabunPSK" w:hAnsi="TH SarabunPSK" w:cs="TH SarabunPSK"/>
          <w:sz w:val="32"/>
          <w:szCs w:val="32"/>
        </w:rPr>
        <w:t>, 2021).</w:t>
      </w:r>
      <w:r w:rsidRPr="00E74E44">
        <w:rPr>
          <w:rFonts w:ascii="TH SarabunPSK" w:hAnsi="TH SarabunPSK" w:cs="TH SarabunPSK"/>
          <w:sz w:val="32"/>
          <w:szCs w:val="32"/>
        </w:rPr>
        <w:t xml:space="preserve"> </w:t>
      </w:r>
      <w:r w:rsidRPr="00E74E44">
        <w:rPr>
          <w:rFonts w:ascii="TH SarabunPSK" w:hAnsi="TH SarabunPSK" w:cs="TH SarabunPSK"/>
          <w:sz w:val="32"/>
          <w:szCs w:val="32"/>
        </w:rPr>
        <w:t xml:space="preserve">Beyond improving data management, the effective use of information technology facilitates collaboration among employees and enhances overall organizational efficiency. Soto et al. (2018) demonstrated that technological capabilities can improve organizational workflows and contribute to greater creativity and innovation among employees. In the esports context, information technology also enables organizations to systematically collect, store, and manage organizational knowledge within centralized repositories. Such knowledge can be accessed efficiently to support decision-making, knowledge sharing, and collaboration among organizational members (Ben </w:t>
      </w:r>
      <w:proofErr w:type="spellStart"/>
      <w:r w:rsidRPr="00E74E44">
        <w:rPr>
          <w:rFonts w:ascii="TH SarabunPSK" w:hAnsi="TH SarabunPSK" w:cs="TH SarabunPSK"/>
          <w:sz w:val="32"/>
          <w:szCs w:val="32"/>
        </w:rPr>
        <w:t>Zammel</w:t>
      </w:r>
      <w:proofErr w:type="spellEnd"/>
      <w:r w:rsidRPr="00E74E44">
        <w:rPr>
          <w:rFonts w:ascii="TH SarabunPSK" w:hAnsi="TH SarabunPSK" w:cs="TH SarabunPSK"/>
          <w:sz w:val="32"/>
          <w:szCs w:val="32"/>
        </w:rPr>
        <w:t xml:space="preserve"> &amp; Najar, 2022).</w:t>
      </w:r>
      <w:r w:rsidRPr="00E74E44">
        <w:rPr>
          <w:rFonts w:ascii="TH SarabunPSK" w:hAnsi="TH SarabunPSK" w:cs="TH SarabunPSK"/>
          <w:sz w:val="32"/>
          <w:szCs w:val="32"/>
        </w:rPr>
        <w:t xml:space="preserve"> </w:t>
      </w:r>
      <w:r w:rsidRPr="00E74E44">
        <w:rPr>
          <w:rFonts w:ascii="TH SarabunPSK" w:hAnsi="TH SarabunPSK" w:cs="TH SarabunPSK"/>
          <w:sz w:val="32"/>
          <w:szCs w:val="32"/>
        </w:rPr>
        <w:t>Therefore, the strategic utilization of information technology represents an important mechanism for improving operational efficiency, supporting knowledge management, and creating organizational value in the esports industry.</w:t>
      </w:r>
    </w:p>
    <w:p w14:paraId="7D4EB9FF" w14:textId="77777777" w:rsidR="00181A7A" w:rsidRPr="00E74E44" w:rsidRDefault="00181A7A" w:rsidP="00181A7A">
      <w:pPr>
        <w:spacing w:before="100" w:beforeAutospacing="1" w:after="100" w:afterAutospacing="1"/>
        <w:rPr>
          <w:rFonts w:ascii="TH SarabunPSK" w:hAnsi="TH SarabunPSK" w:cs="TH SarabunPSK"/>
          <w:b/>
          <w:bCs/>
          <w:sz w:val="32"/>
          <w:szCs w:val="32"/>
        </w:rPr>
      </w:pPr>
      <w:r w:rsidRPr="00E74E44">
        <w:rPr>
          <w:rFonts w:ascii="TH SarabunPSK" w:hAnsi="TH SarabunPSK" w:cs="TH SarabunPSK"/>
          <w:b/>
          <w:bCs/>
          <w:sz w:val="32"/>
          <w:szCs w:val="32"/>
        </w:rPr>
        <w:t>Organizational Management</w:t>
      </w:r>
    </w:p>
    <w:p w14:paraId="3ABE9239" w14:textId="5B884D9A" w:rsidR="0046532F" w:rsidRPr="00E74E44" w:rsidRDefault="00181A7A" w:rsidP="00181A7A">
      <w:pPr>
        <w:spacing w:before="100" w:beforeAutospacing="1" w:after="100" w:afterAutospacing="1"/>
        <w:rPr>
          <w:rFonts w:ascii="TH SarabunPSK" w:hAnsi="TH SarabunPSK" w:cs="TH SarabunPSK"/>
          <w:sz w:val="32"/>
          <w:szCs w:val="32"/>
        </w:rPr>
      </w:pPr>
      <w:r w:rsidRPr="00E74E44">
        <w:rPr>
          <w:rFonts w:ascii="TH SarabunPSK" w:hAnsi="TH SarabunPSK" w:cs="TH SarabunPSK"/>
          <w:sz w:val="32"/>
          <w:szCs w:val="32"/>
        </w:rPr>
        <w:t xml:space="preserve">Effective organizational management is another important approach to promoting value creation and sustainable competitiveness in the esports industry. Organizations can foster a culture of innovation and sustainability by encouraging employees at different organizational </w:t>
      </w:r>
      <w:r w:rsidRPr="00E74E44">
        <w:rPr>
          <w:rFonts w:ascii="TH SarabunPSK" w:hAnsi="TH SarabunPSK" w:cs="TH SarabunPSK"/>
          <w:sz w:val="32"/>
          <w:szCs w:val="32"/>
        </w:rPr>
        <w:lastRenderedPageBreak/>
        <w:t>levels to develop creative solutions and identify opportunities for improving sustainable business practices. Such an environment allows new ideas to emerge from operational-level employees and be integrated into strategic decision-making at the managerial and executive levels.</w:t>
      </w:r>
      <w:r w:rsidRPr="00E74E44">
        <w:rPr>
          <w:rFonts w:ascii="TH SarabunPSK" w:hAnsi="TH SarabunPSK" w:cs="TH SarabunPSK"/>
          <w:sz w:val="32"/>
          <w:szCs w:val="32"/>
        </w:rPr>
        <w:t xml:space="preserve"> </w:t>
      </w:r>
      <w:r w:rsidRPr="00E74E44">
        <w:rPr>
          <w:rFonts w:ascii="TH SarabunPSK" w:hAnsi="TH SarabunPSK" w:cs="TH SarabunPSK"/>
          <w:sz w:val="32"/>
          <w:szCs w:val="32"/>
        </w:rPr>
        <w:t>Effective management also contributes to the standardization of organizational processes and promotes teamwork in accordance with established policies and objectives. Clear management practices can improve coordination among employees, enhance operational consistency, and ensure that organizational resources are used effectively. In addition, integrating technology into managerial practices can facilitate the creation and dissemination of new organizational knowledge, improve workflows, and strengthen organizational capabilities. These factors can ultimately contribute to the development of a sustainable competitive advantage (Cote et al., 2022).</w:t>
      </w:r>
      <w:r w:rsidRPr="00E74E44">
        <w:rPr>
          <w:rFonts w:ascii="TH SarabunPSK" w:hAnsi="TH SarabunPSK" w:cs="TH SarabunPSK"/>
          <w:sz w:val="32"/>
          <w:szCs w:val="32"/>
        </w:rPr>
        <w:t xml:space="preserve"> </w:t>
      </w:r>
      <w:r w:rsidRPr="00E74E44">
        <w:rPr>
          <w:rFonts w:ascii="TH SarabunPSK" w:hAnsi="TH SarabunPSK" w:cs="TH SarabunPSK"/>
          <w:sz w:val="32"/>
          <w:szCs w:val="32"/>
        </w:rPr>
        <w:t>Accordingly, organizational management should not be viewed solely as an administrative function but as a strategic capability that enables esports organizations to coordinate resources, develop employee capabilities, encourage innovation, and respond effectively to changes in the competitive environment.</w:t>
      </w:r>
    </w:p>
    <w:p w14:paraId="7F00BF04" w14:textId="77777777" w:rsidR="00181A7A" w:rsidRPr="00E74E44" w:rsidRDefault="00181A7A" w:rsidP="00181A7A">
      <w:pPr>
        <w:spacing w:before="100" w:beforeAutospacing="1" w:after="100" w:afterAutospacing="1"/>
        <w:rPr>
          <w:rFonts w:ascii="TH SarabunPSK" w:hAnsi="TH SarabunPSK" w:cs="TH SarabunPSK"/>
          <w:b/>
          <w:bCs/>
          <w:sz w:val="32"/>
          <w:szCs w:val="32"/>
        </w:rPr>
      </w:pPr>
      <w:r w:rsidRPr="00E74E44">
        <w:rPr>
          <w:rFonts w:ascii="TH SarabunPSK" w:hAnsi="TH SarabunPSK" w:cs="TH SarabunPSK"/>
          <w:b/>
          <w:bCs/>
          <w:sz w:val="32"/>
          <w:szCs w:val="32"/>
        </w:rPr>
        <w:t>Innovation</w:t>
      </w:r>
    </w:p>
    <w:p w14:paraId="5A5E2E3E" w14:textId="36369347" w:rsidR="0046532F" w:rsidRPr="00E74E44" w:rsidRDefault="00181A7A" w:rsidP="00181A7A">
      <w:pPr>
        <w:spacing w:before="100" w:beforeAutospacing="1" w:after="100" w:afterAutospacing="1"/>
        <w:rPr>
          <w:rFonts w:ascii="TH SarabunPSK" w:hAnsi="TH SarabunPSK" w:cs="TH SarabunPSK"/>
          <w:sz w:val="32"/>
          <w:szCs w:val="32"/>
        </w:rPr>
      </w:pPr>
      <w:r w:rsidRPr="00E74E44">
        <w:rPr>
          <w:rFonts w:ascii="TH SarabunPSK" w:hAnsi="TH SarabunPSK" w:cs="TH SarabunPSK"/>
          <w:sz w:val="32"/>
          <w:szCs w:val="32"/>
        </w:rPr>
        <w:t>Innovation is a critical driver of value creation and competitiveness in the esports industry, particularly given the industry's rapid technological development and changing consumer expectations. Esports organizations continuously seek to improve the technologies, tools, and services associated with gameplay, broadcasting, content creation, and fan engagement. Developing products and services in response to feedback from players, audiences, and other stakeholders enables organizations to remain responsive to changing market expectations.</w:t>
      </w:r>
      <w:r w:rsidRPr="00E74E44">
        <w:rPr>
          <w:rFonts w:ascii="TH SarabunPSK" w:hAnsi="TH SarabunPSK" w:cs="TH SarabunPSK"/>
          <w:sz w:val="32"/>
          <w:szCs w:val="32"/>
        </w:rPr>
        <w:t xml:space="preserve"> </w:t>
      </w:r>
      <w:r w:rsidRPr="00E74E44">
        <w:rPr>
          <w:rFonts w:ascii="TH SarabunPSK" w:hAnsi="TH SarabunPSK" w:cs="TH SarabunPSK"/>
          <w:sz w:val="32"/>
          <w:szCs w:val="32"/>
        </w:rPr>
        <w:t xml:space="preserve">Innovation in management and organizational processes is equally important. Managerial innovation can help organizations align their products, services, and operational practices with emerging market trends and consumer demands. By continuously improving organizational processes and introducing new approaches to service delivery, esports businesses can enhance productivity and operational performance. </w:t>
      </w:r>
      <w:proofErr w:type="spellStart"/>
      <w:r w:rsidRPr="00E74E44">
        <w:rPr>
          <w:rFonts w:ascii="TH SarabunPSK" w:hAnsi="TH SarabunPSK" w:cs="TH SarabunPSK"/>
          <w:sz w:val="32"/>
          <w:szCs w:val="32"/>
        </w:rPr>
        <w:t>Rambe</w:t>
      </w:r>
      <w:proofErr w:type="spellEnd"/>
      <w:r w:rsidRPr="00E74E44">
        <w:rPr>
          <w:rFonts w:ascii="TH SarabunPSK" w:hAnsi="TH SarabunPSK" w:cs="TH SarabunPSK"/>
          <w:sz w:val="32"/>
          <w:szCs w:val="32"/>
        </w:rPr>
        <w:t xml:space="preserve"> and </w:t>
      </w:r>
      <w:proofErr w:type="spellStart"/>
      <w:r w:rsidRPr="00E74E44">
        <w:rPr>
          <w:rFonts w:ascii="TH SarabunPSK" w:hAnsi="TH SarabunPSK" w:cs="TH SarabunPSK"/>
          <w:sz w:val="32"/>
          <w:szCs w:val="32"/>
        </w:rPr>
        <w:t>Khaola</w:t>
      </w:r>
      <w:proofErr w:type="spellEnd"/>
      <w:r w:rsidRPr="00E74E44">
        <w:rPr>
          <w:rFonts w:ascii="TH SarabunPSK" w:hAnsi="TH SarabunPSK" w:cs="TH SarabunPSK"/>
          <w:sz w:val="32"/>
          <w:szCs w:val="32"/>
        </w:rPr>
        <w:t xml:space="preserve"> (2022) reported that organizational innovation can contribute significantly to improved productivity and business performance. Similarly, Tang et al. (2022) emphasized that the adoption of innovative practices is important for strengthening organizational stability and resilience. </w:t>
      </w:r>
      <w:proofErr w:type="spellStart"/>
      <w:r w:rsidRPr="00E74E44">
        <w:rPr>
          <w:rFonts w:ascii="TH SarabunPSK" w:hAnsi="TH SarabunPSK" w:cs="TH SarabunPSK"/>
          <w:sz w:val="32"/>
          <w:szCs w:val="32"/>
        </w:rPr>
        <w:lastRenderedPageBreak/>
        <w:t>Abubakre</w:t>
      </w:r>
      <w:proofErr w:type="spellEnd"/>
      <w:r w:rsidRPr="00E74E44">
        <w:rPr>
          <w:rFonts w:ascii="TH SarabunPSK" w:hAnsi="TH SarabunPSK" w:cs="TH SarabunPSK"/>
          <w:sz w:val="32"/>
          <w:szCs w:val="32"/>
        </w:rPr>
        <w:t xml:space="preserve"> et al. (2022) further highlighted the importance of innovation in developing organizational capabilities and improving business performance.</w:t>
      </w:r>
      <w:r w:rsidRPr="00E74E44">
        <w:rPr>
          <w:rFonts w:ascii="TH SarabunPSK" w:hAnsi="TH SarabunPSK" w:cs="TH SarabunPSK"/>
          <w:sz w:val="32"/>
          <w:szCs w:val="32"/>
        </w:rPr>
        <w:t xml:space="preserve"> </w:t>
      </w:r>
      <w:r w:rsidRPr="00E74E44">
        <w:rPr>
          <w:rFonts w:ascii="TH SarabunPSK" w:hAnsi="TH SarabunPSK" w:cs="TH SarabunPSK"/>
          <w:sz w:val="32"/>
          <w:szCs w:val="32"/>
        </w:rPr>
        <w:t>Thus, innovation should be considered a continuous organizational process rather than a one-time activity. Esports organizations that successfully develop and implement technological, product, service, and managerial innovations are better positioned to respond to environmental changes and maintain their competitive position over the long term.</w:t>
      </w:r>
    </w:p>
    <w:p w14:paraId="0FC8B268" w14:textId="77777777" w:rsidR="00181A7A" w:rsidRPr="00E74E44" w:rsidRDefault="00181A7A" w:rsidP="00181A7A">
      <w:pPr>
        <w:spacing w:before="100" w:beforeAutospacing="1" w:after="100" w:afterAutospacing="1"/>
        <w:rPr>
          <w:rFonts w:ascii="TH SarabunPSK" w:hAnsi="TH SarabunPSK" w:cs="TH SarabunPSK"/>
          <w:b/>
          <w:bCs/>
          <w:sz w:val="32"/>
          <w:szCs w:val="32"/>
        </w:rPr>
      </w:pPr>
      <w:r w:rsidRPr="00E74E44">
        <w:rPr>
          <w:rFonts w:ascii="TH SarabunPSK" w:hAnsi="TH SarabunPSK" w:cs="TH SarabunPSK"/>
          <w:b/>
          <w:bCs/>
          <w:sz w:val="32"/>
          <w:szCs w:val="32"/>
        </w:rPr>
        <w:t>Market Orientation</w:t>
      </w:r>
    </w:p>
    <w:p w14:paraId="1B3B89DB" w14:textId="0A622B0E" w:rsidR="00181A7A" w:rsidRPr="00E74E44" w:rsidRDefault="00181A7A" w:rsidP="00EA2E41">
      <w:pPr>
        <w:rPr>
          <w:rFonts w:ascii="TH SarabunPSK" w:hAnsi="TH SarabunPSK" w:cs="TH SarabunPSK"/>
          <w:sz w:val="32"/>
          <w:szCs w:val="32"/>
        </w:rPr>
      </w:pPr>
      <w:r w:rsidRPr="00E74E44">
        <w:rPr>
          <w:rFonts w:ascii="TH SarabunPSK" w:hAnsi="TH SarabunPSK" w:cs="TH SarabunPSK"/>
          <w:sz w:val="32"/>
          <w:szCs w:val="32"/>
        </w:rPr>
        <w:t>Market orientation focuses on understanding and responding to consumer needs and changing market conditions. In esports, it helps organizations gather and use information about players, audiences, sponsors, partners, and other stakeholders to improve products, services, branding, and marketing strategies.</w:t>
      </w:r>
      <w:r w:rsidRPr="00E74E44">
        <w:rPr>
          <w:rFonts w:ascii="TH SarabunPSK" w:hAnsi="TH SarabunPSK" w:cs="TH SarabunPSK"/>
          <w:sz w:val="32"/>
          <w:szCs w:val="32"/>
        </w:rPr>
        <w:t xml:space="preserve"> </w:t>
      </w:r>
      <w:r w:rsidRPr="00E74E44">
        <w:rPr>
          <w:rFonts w:ascii="TH SarabunPSK" w:hAnsi="TH SarabunPSK" w:cs="TH SarabunPSK"/>
          <w:sz w:val="32"/>
          <w:szCs w:val="32"/>
        </w:rPr>
        <w:t>Royo et al. (2021) found that market orientation strengthens organizational learning, competitive awareness, and coordination, improving marketing effectiveness. Borazon et al. (2021) also highlighted its role in strengthening stakeholder relationships and helping organizations respond to competitive and regulatory pressures. Similarly, Akgun and Polat (2021) noted that market-oriented practices in branding, customer relationship management, pricing, and distribution improve responsiveness to changing market needs.</w:t>
      </w:r>
      <w:r w:rsidRPr="00E74E44">
        <w:rPr>
          <w:rFonts w:ascii="TH SarabunPSK" w:hAnsi="TH SarabunPSK" w:cs="TH SarabunPSK"/>
          <w:sz w:val="32"/>
          <w:szCs w:val="32"/>
        </w:rPr>
        <w:t xml:space="preserve"> </w:t>
      </w:r>
      <w:r w:rsidRPr="00E74E44">
        <w:rPr>
          <w:rFonts w:ascii="TH SarabunPSK" w:hAnsi="TH SarabunPSK" w:cs="TH SarabunPSK"/>
          <w:sz w:val="32"/>
          <w:szCs w:val="32"/>
        </w:rPr>
        <w:t>Overall, market orientation helps esports organizations turn market knowledge into effective products, services, and strategies that create value and support competitiveness.</w:t>
      </w:r>
    </w:p>
    <w:p w14:paraId="5F60C63C" w14:textId="33935C06" w:rsidR="0046532F" w:rsidRPr="00E74E44" w:rsidRDefault="00181A7A" w:rsidP="00EA2E41">
      <w:pPr>
        <w:rPr>
          <w:rFonts w:ascii="TH SarabunPSK" w:hAnsi="TH SarabunPSK" w:cs="TH SarabunPSK"/>
          <w:sz w:val="32"/>
          <w:szCs w:val="32"/>
        </w:rPr>
      </w:pPr>
      <w:r w:rsidRPr="00E74E44">
        <w:rPr>
          <w:rFonts w:ascii="TH SarabunPSK" w:hAnsi="TH SarabunPSK" w:cs="TH SarabunPSK"/>
          <w:sz w:val="32"/>
          <w:szCs w:val="32"/>
        </w:rPr>
        <w:t>Overall Discussion</w:t>
      </w:r>
      <w:r w:rsidRPr="00E74E44">
        <w:rPr>
          <w:rFonts w:ascii="TH SarabunPSK" w:hAnsi="TH SarabunPSK" w:cs="TH SarabunPSK"/>
          <w:sz w:val="32"/>
          <w:szCs w:val="32"/>
        </w:rPr>
        <w:t xml:space="preserve"> </w:t>
      </w:r>
      <w:r w:rsidRPr="00E74E44">
        <w:rPr>
          <w:rFonts w:ascii="TH SarabunPSK" w:hAnsi="TH SarabunPSK" w:cs="TH SarabunPSK"/>
          <w:sz w:val="32"/>
          <w:szCs w:val="32"/>
        </w:rPr>
        <w:t>Information technology, organizational management, innovation, and market orientation together provide a comprehensive approach to value creation and sustainable competitiveness in esports. Information technology supports information and knowledge management, organizational management coordinates resources, innovation enables adaptation and development, and market orientation aligns activities with consumer needs.</w:t>
      </w:r>
      <w:r w:rsidRPr="00E74E44">
        <w:rPr>
          <w:rFonts w:ascii="TH SarabunPSK" w:hAnsi="TH SarabunPSK" w:cs="TH SarabunPSK"/>
          <w:sz w:val="32"/>
          <w:szCs w:val="32"/>
        </w:rPr>
        <w:t xml:space="preserve"> </w:t>
      </w:r>
      <w:r w:rsidRPr="00E74E44">
        <w:rPr>
          <w:rFonts w:ascii="TH SarabunPSK" w:hAnsi="TH SarabunPSK" w:cs="TH SarabunPSK"/>
          <w:sz w:val="32"/>
          <w:szCs w:val="32"/>
        </w:rPr>
        <w:t>These approaches are interrelated and, when implemented together, can improve organizational capabilities, operational efficiency, responsiveness, and the ability of esports organizations to achieve sustainable competitive advantage.</w:t>
      </w:r>
    </w:p>
    <w:p w14:paraId="5A26E7C1" w14:textId="77777777" w:rsidR="00181A7A" w:rsidRPr="00E74E44" w:rsidRDefault="00181A7A" w:rsidP="00181A7A">
      <w:pPr>
        <w:spacing w:before="100" w:beforeAutospacing="1" w:after="100" w:afterAutospacing="1"/>
        <w:rPr>
          <w:rFonts w:ascii="TH SarabunPSK" w:hAnsi="TH SarabunPSK" w:cs="TH SarabunPSK"/>
          <w:sz w:val="32"/>
          <w:szCs w:val="32"/>
        </w:rPr>
      </w:pPr>
    </w:p>
    <w:p w14:paraId="73C546AE" w14:textId="11F21119" w:rsidR="0062037C" w:rsidRPr="00E74E44" w:rsidRDefault="0062037C" w:rsidP="0046532F">
      <w:pPr>
        <w:spacing w:before="100" w:beforeAutospacing="1" w:after="100" w:afterAutospacing="1"/>
        <w:ind w:firstLine="0"/>
        <w:rPr>
          <w:rFonts w:ascii="TH SarabunPSK" w:hAnsi="TH SarabunPSK" w:cs="TH SarabunPSK"/>
          <w:b/>
          <w:bCs/>
          <w:sz w:val="32"/>
          <w:szCs w:val="32"/>
        </w:rPr>
      </w:pPr>
      <w:r w:rsidRPr="00E74E44">
        <w:rPr>
          <w:rFonts w:ascii="TH SarabunPSK" w:hAnsi="TH SarabunPSK" w:cs="TH SarabunPSK"/>
          <w:b/>
          <w:bCs/>
          <w:sz w:val="32"/>
          <w:szCs w:val="32"/>
        </w:rPr>
        <w:lastRenderedPageBreak/>
        <w:t>Conclusion</w:t>
      </w:r>
    </w:p>
    <w:p w14:paraId="151F9FB5" w14:textId="7FB5DB2B" w:rsidR="00181A7A" w:rsidRPr="00E74E44" w:rsidRDefault="00181A7A" w:rsidP="00181A7A">
      <w:pPr>
        <w:rPr>
          <w:rFonts w:ascii="TH SarabunPSK" w:hAnsi="TH SarabunPSK" w:cs="TH SarabunPSK"/>
          <w:sz w:val="32"/>
          <w:szCs w:val="32"/>
        </w:rPr>
      </w:pPr>
      <w:r w:rsidRPr="00E74E44">
        <w:rPr>
          <w:rFonts w:ascii="TH SarabunPSK" w:hAnsi="TH SarabunPSK" w:cs="TH SarabunPSK"/>
          <w:sz w:val="32"/>
          <w:szCs w:val="32"/>
        </w:rPr>
        <w:t>This study identified the key approaches required for value creation and sustainable competitiveness in the esports industry. The findings indicate that four dimensions are particularly important: information technology utilization, organizational management, innovation, and market orientation. Collectively, these dimensions strengthen organizational capabilities and enable esports organizations to respond effectively to rapid technological developments and changing market conditions.</w:t>
      </w:r>
    </w:p>
    <w:p w14:paraId="752C7807" w14:textId="100089DF" w:rsidR="00181A7A" w:rsidRPr="00E74E44" w:rsidRDefault="00181A7A" w:rsidP="00181A7A">
      <w:pPr>
        <w:rPr>
          <w:rFonts w:ascii="TH SarabunPSK" w:hAnsi="TH SarabunPSK" w:cs="TH SarabunPSK"/>
          <w:sz w:val="32"/>
          <w:szCs w:val="32"/>
        </w:rPr>
      </w:pPr>
      <w:r w:rsidRPr="00E74E44">
        <w:rPr>
          <w:rFonts w:ascii="TH SarabunPSK" w:hAnsi="TH SarabunPSK" w:cs="TH SarabunPSK"/>
          <w:sz w:val="32"/>
          <w:szCs w:val="32"/>
        </w:rPr>
        <w:t>The findings also reveal significant differences according to organizational size, with large esports organizations placing greater emphasis on value-creation approaches than small and medium-sized enterprises. This finding suggests that organizational scale may influence the extent to which businesses are able to invest in and implement the capabilities required for value creation and sustainable competitiveness.</w:t>
      </w:r>
    </w:p>
    <w:p w14:paraId="01009FD6" w14:textId="77777777" w:rsidR="00181A7A" w:rsidRPr="00E74E44" w:rsidRDefault="00181A7A" w:rsidP="00181A7A">
      <w:pPr>
        <w:rPr>
          <w:rFonts w:ascii="TH SarabunPSK" w:hAnsi="TH SarabunPSK" w:cs="TH SarabunPSK"/>
          <w:b/>
          <w:bCs/>
          <w:sz w:val="32"/>
          <w:szCs w:val="32"/>
        </w:rPr>
      </w:pPr>
      <w:r w:rsidRPr="00E74E44">
        <w:rPr>
          <w:rFonts w:ascii="TH SarabunPSK" w:hAnsi="TH SarabunPSK" w:cs="TH SarabunPSK"/>
          <w:sz w:val="32"/>
          <w:szCs w:val="32"/>
        </w:rPr>
        <w:t>Furthermore, the structural equation model confirms that the development of technology, human skills, and organizational capabilities plays a significant role in achieving sustainable competitive advantage. These findings suggest that competitiveness in the esports industry cannot be achieved through technological investment alone. Rather, sustainable performance requires the integration of technological capabilities with effective management, skilled human resources, continuous innovation, and market-oriented strategies.</w:t>
      </w:r>
    </w:p>
    <w:p w14:paraId="643B15A6" w14:textId="42A91295" w:rsidR="00181A7A" w:rsidRPr="00E74E44" w:rsidRDefault="00181A7A" w:rsidP="00181A7A">
      <w:pPr>
        <w:rPr>
          <w:rFonts w:ascii="TH SarabunPSK" w:hAnsi="TH SarabunPSK" w:cs="TH SarabunPSK"/>
          <w:sz w:val="32"/>
          <w:szCs w:val="32"/>
        </w:rPr>
      </w:pPr>
      <w:r w:rsidRPr="00E74E44">
        <w:rPr>
          <w:rFonts w:ascii="TH SarabunPSK" w:hAnsi="TH SarabunPSK" w:cs="TH SarabunPSK"/>
          <w:sz w:val="32"/>
          <w:szCs w:val="32"/>
        </w:rPr>
        <w:t>Overall, the findings suggest that long-term success in the esports industry requires more than technological development. Effective management, skilled personnel, continuous innovation, and strategic market orientation are equally important. The findings therefore provide a practical framework for esports entrepreneurs and managers to enhance value creation, organizational resilience, and sustainable competitiveness.</w:t>
      </w:r>
    </w:p>
    <w:p w14:paraId="462F1C96" w14:textId="77777777" w:rsidR="00181A7A" w:rsidRPr="00E74E44" w:rsidRDefault="00181A7A" w:rsidP="00181A7A">
      <w:pPr>
        <w:spacing w:before="100" w:beforeAutospacing="1" w:after="100" w:afterAutospacing="1"/>
        <w:ind w:firstLine="0"/>
        <w:rPr>
          <w:rFonts w:ascii="TH SarabunPSK" w:hAnsi="TH SarabunPSK" w:cs="TH SarabunPSK"/>
          <w:b/>
          <w:bCs/>
          <w:sz w:val="32"/>
          <w:szCs w:val="32"/>
        </w:rPr>
      </w:pPr>
    </w:p>
    <w:p w14:paraId="7B0D5A30" w14:textId="77777777" w:rsidR="00181A7A" w:rsidRPr="00E74E44" w:rsidRDefault="00181A7A" w:rsidP="00181A7A">
      <w:pPr>
        <w:spacing w:before="100" w:beforeAutospacing="1" w:after="100" w:afterAutospacing="1"/>
        <w:ind w:firstLine="0"/>
        <w:rPr>
          <w:rFonts w:ascii="TH SarabunPSK" w:hAnsi="TH SarabunPSK" w:cs="TH SarabunPSK"/>
          <w:b/>
          <w:bCs/>
          <w:sz w:val="32"/>
          <w:szCs w:val="32"/>
        </w:rPr>
      </w:pPr>
    </w:p>
    <w:p w14:paraId="0DB4F317" w14:textId="77777777" w:rsidR="00181A7A" w:rsidRPr="00E74E44" w:rsidRDefault="00181A7A" w:rsidP="00181A7A">
      <w:pPr>
        <w:spacing w:before="100" w:beforeAutospacing="1" w:after="100" w:afterAutospacing="1"/>
        <w:ind w:firstLine="0"/>
        <w:rPr>
          <w:rFonts w:ascii="TH SarabunPSK" w:hAnsi="TH SarabunPSK" w:cs="TH SarabunPSK"/>
          <w:b/>
          <w:bCs/>
          <w:sz w:val="32"/>
          <w:szCs w:val="32"/>
        </w:rPr>
      </w:pPr>
    </w:p>
    <w:p w14:paraId="7D721401" w14:textId="77777777" w:rsidR="00181A7A" w:rsidRPr="00E74E44" w:rsidRDefault="00181A7A" w:rsidP="00181A7A">
      <w:pPr>
        <w:spacing w:before="100" w:beforeAutospacing="1" w:after="100" w:afterAutospacing="1"/>
        <w:ind w:firstLine="0"/>
        <w:rPr>
          <w:rFonts w:ascii="TH SarabunPSK" w:hAnsi="TH SarabunPSK" w:cs="TH SarabunPSK"/>
          <w:b/>
          <w:bCs/>
          <w:sz w:val="32"/>
          <w:szCs w:val="32"/>
        </w:rPr>
      </w:pPr>
    </w:p>
    <w:p w14:paraId="680E3204" w14:textId="71DE6FC0" w:rsidR="0062037C" w:rsidRPr="00E74E44" w:rsidRDefault="009156D0" w:rsidP="00181A7A">
      <w:pPr>
        <w:spacing w:before="100" w:beforeAutospacing="1" w:after="100" w:afterAutospacing="1"/>
        <w:ind w:firstLine="0"/>
        <w:rPr>
          <w:rFonts w:ascii="TH SarabunPSK" w:hAnsi="TH SarabunPSK" w:cs="TH SarabunPSK"/>
          <w:b/>
          <w:bCs/>
          <w:sz w:val="32"/>
          <w:szCs w:val="32"/>
        </w:rPr>
      </w:pPr>
      <w:r w:rsidRPr="00E74E44">
        <w:rPr>
          <w:rFonts w:ascii="TH SarabunPSK" w:hAnsi="TH SarabunPSK" w:cs="TH SarabunPSK"/>
          <w:b/>
          <w:bCs/>
          <w:sz w:val="32"/>
          <w:szCs w:val="32"/>
        </w:rPr>
        <w:lastRenderedPageBreak/>
        <w:t>Suggestions</w:t>
      </w:r>
    </w:p>
    <w:p w14:paraId="7F7EF8D8" w14:textId="77777777" w:rsidR="00922146" w:rsidRPr="00E74E44" w:rsidRDefault="00922146" w:rsidP="00922146">
      <w:pPr>
        <w:spacing w:before="100" w:beforeAutospacing="1" w:after="100" w:afterAutospacing="1" w:line="266" w:lineRule="auto"/>
        <w:jc w:val="left"/>
        <w:rPr>
          <w:rFonts w:ascii="TH SarabunPSK" w:hAnsi="TH SarabunPSK" w:cs="TH SarabunPSK"/>
          <w:b/>
          <w:bCs/>
          <w:sz w:val="32"/>
          <w:szCs w:val="32"/>
        </w:rPr>
      </w:pPr>
      <w:r w:rsidRPr="00E74E44">
        <w:rPr>
          <w:rFonts w:ascii="TH SarabunPSK" w:hAnsi="TH SarabunPSK" w:cs="TH SarabunPSK"/>
          <w:b/>
          <w:bCs/>
          <w:sz w:val="32"/>
          <w:szCs w:val="32"/>
        </w:rPr>
        <w:t>New Body of Knowledge</w:t>
      </w:r>
    </w:p>
    <w:p w14:paraId="05DA7B65" w14:textId="451D6DD4" w:rsidR="00922146" w:rsidRPr="00E74E44" w:rsidRDefault="00922146" w:rsidP="00922146">
      <w:pPr>
        <w:spacing w:before="100" w:beforeAutospacing="1" w:after="100" w:afterAutospacing="1" w:line="266" w:lineRule="auto"/>
        <w:jc w:val="left"/>
        <w:rPr>
          <w:rFonts w:ascii="TH SarabunPSK" w:hAnsi="TH SarabunPSK" w:cs="TH SarabunPSK"/>
          <w:sz w:val="32"/>
          <w:szCs w:val="32"/>
        </w:rPr>
      </w:pPr>
      <w:r w:rsidRPr="00E74E44">
        <w:rPr>
          <w:rFonts w:ascii="TH SarabunPSK" w:hAnsi="TH SarabunPSK" w:cs="TH SarabunPSK"/>
          <w:sz w:val="32"/>
          <w:szCs w:val="32"/>
        </w:rPr>
        <w:t>The study proposes a value-creation framework based on four key components: information technology utilization, organizational management, innovation management, and marketing focus, supported by technology, skills, and organizational capabilities.</w:t>
      </w:r>
    </w:p>
    <w:p w14:paraId="7D545EEC" w14:textId="77777777" w:rsidR="00922146" w:rsidRPr="00E74E44" w:rsidRDefault="00922146" w:rsidP="00922146">
      <w:pPr>
        <w:spacing w:before="100" w:beforeAutospacing="1" w:after="100" w:afterAutospacing="1" w:line="266" w:lineRule="auto"/>
        <w:jc w:val="left"/>
        <w:rPr>
          <w:rFonts w:ascii="TH SarabunPSK" w:hAnsi="TH SarabunPSK" w:cs="TH SarabunPSK"/>
          <w:b/>
          <w:bCs/>
          <w:sz w:val="32"/>
          <w:szCs w:val="32"/>
        </w:rPr>
      </w:pPr>
      <w:r w:rsidRPr="00E74E44">
        <w:rPr>
          <w:rFonts w:ascii="TH SarabunPSK" w:hAnsi="TH SarabunPSK" w:cs="TH SarabunPSK"/>
          <w:b/>
          <w:bCs/>
          <w:sz w:val="32"/>
          <w:szCs w:val="32"/>
        </w:rPr>
        <w:t>Recommendations for the Public and Industry</w:t>
      </w:r>
    </w:p>
    <w:p w14:paraId="29BC7296" w14:textId="6C75C6B1" w:rsidR="00922146" w:rsidRPr="00E74E44" w:rsidRDefault="00922146" w:rsidP="00922146">
      <w:pPr>
        <w:spacing w:before="100" w:beforeAutospacing="1" w:after="100" w:afterAutospacing="1" w:line="266" w:lineRule="auto"/>
        <w:jc w:val="left"/>
        <w:rPr>
          <w:rFonts w:ascii="TH SarabunPSK" w:hAnsi="TH SarabunPSK" w:cs="TH SarabunPSK"/>
          <w:sz w:val="32"/>
          <w:szCs w:val="32"/>
        </w:rPr>
      </w:pPr>
      <w:r w:rsidRPr="00E74E44">
        <w:rPr>
          <w:rFonts w:ascii="TH SarabunPSK" w:hAnsi="TH SarabunPSK" w:cs="TH SarabunPSK"/>
          <w:sz w:val="32"/>
          <w:szCs w:val="32"/>
        </w:rPr>
        <w:t xml:space="preserve"> E-sports businesses and relevant stakeholders should invest in digital infrastructure, workforce skills, innovation, management, and strategic marketing to strengthen competitiveness and support sustainable industry growth.</w:t>
      </w:r>
    </w:p>
    <w:p w14:paraId="0E9A597D" w14:textId="77777777" w:rsidR="00922146" w:rsidRPr="00E74E44" w:rsidRDefault="00922146" w:rsidP="00922146">
      <w:pPr>
        <w:spacing w:before="100" w:beforeAutospacing="1" w:after="100" w:afterAutospacing="1" w:line="266" w:lineRule="auto"/>
        <w:jc w:val="left"/>
        <w:rPr>
          <w:rFonts w:ascii="TH SarabunPSK" w:hAnsi="TH SarabunPSK" w:cs="TH SarabunPSK"/>
          <w:b/>
          <w:bCs/>
          <w:sz w:val="32"/>
          <w:szCs w:val="32"/>
        </w:rPr>
      </w:pPr>
      <w:r w:rsidRPr="00E74E44">
        <w:rPr>
          <w:rFonts w:ascii="TH SarabunPSK" w:hAnsi="TH SarabunPSK" w:cs="TH SarabunPSK"/>
          <w:b/>
          <w:bCs/>
          <w:sz w:val="32"/>
          <w:szCs w:val="32"/>
        </w:rPr>
        <w:t>Future Research</w:t>
      </w:r>
    </w:p>
    <w:p w14:paraId="0368BB28" w14:textId="79320297" w:rsidR="00922146" w:rsidRPr="00E74E44" w:rsidRDefault="00922146" w:rsidP="00922146">
      <w:pPr>
        <w:spacing w:before="100" w:beforeAutospacing="1" w:after="100" w:afterAutospacing="1" w:line="266" w:lineRule="auto"/>
        <w:jc w:val="left"/>
        <w:rPr>
          <w:rFonts w:ascii="TH SarabunPSK" w:hAnsi="TH SarabunPSK" w:cs="TH SarabunPSK"/>
          <w:b/>
          <w:sz w:val="32"/>
          <w:szCs w:val="32"/>
        </w:rPr>
      </w:pPr>
      <w:r w:rsidRPr="00E74E44">
        <w:rPr>
          <w:rFonts w:ascii="TH SarabunPSK" w:hAnsi="TH SarabunPSK" w:cs="TH SarabunPSK"/>
          <w:sz w:val="32"/>
          <w:szCs w:val="32"/>
        </w:rPr>
        <w:t xml:space="preserve"> Future studies should examine additional factors such as leadership, human resources, finance, fan engagement, and emerging technologies. Comparative and longitudinal research is also recommended to further validate the framework across different e-sports markets.</w:t>
      </w:r>
    </w:p>
    <w:p w14:paraId="34A9ED13" w14:textId="270845C1" w:rsidR="009156D0" w:rsidRPr="00E74E44" w:rsidRDefault="009156D0" w:rsidP="00922146">
      <w:pPr>
        <w:spacing w:before="100" w:beforeAutospacing="1" w:after="100" w:afterAutospacing="1" w:line="266" w:lineRule="auto"/>
        <w:ind w:firstLine="0"/>
        <w:jc w:val="left"/>
        <w:rPr>
          <w:rFonts w:ascii="TH SarabunPSK" w:hAnsi="TH SarabunPSK" w:cs="TH SarabunPSK"/>
          <w:sz w:val="32"/>
          <w:szCs w:val="32"/>
        </w:rPr>
      </w:pPr>
      <w:r w:rsidRPr="00E74E44">
        <w:rPr>
          <w:rFonts w:ascii="TH SarabunPSK" w:hAnsi="TH SarabunPSK" w:cs="TH SarabunPSK"/>
          <w:b/>
          <w:sz w:val="32"/>
          <w:szCs w:val="32"/>
        </w:rPr>
        <w:t>Reference</w:t>
      </w:r>
    </w:p>
    <w:p w14:paraId="32899CF8"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Abraham, J</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Ali, M</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M</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Andangsari, E</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W</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Hartanti, L</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E</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P</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2020</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Confirmatory factor analysis of celebrity worship, digital literacy, and nostalgia</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Dataset of Indonesians</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Data Brief</w:t>
      </w:r>
      <w:r w:rsidRPr="00E74E44">
        <w:rPr>
          <w:rFonts w:ascii="TH SarabunPSK" w:eastAsia="Times New Roman" w:hAnsi="TH SarabunPSK" w:cs="TH SarabunPSK"/>
          <w:noProof/>
          <w:kern w:val="0"/>
          <w:sz w:val="32"/>
          <w:szCs w:val="32"/>
          <w:lang w:val="id-ID" w:eastAsia="id-ID" w:bidi="ar-SA"/>
          <w14:ligatures w14:val="none"/>
        </w:rPr>
        <w:t>,</w:t>
      </w:r>
      <w:r w:rsidRPr="00E74E44">
        <w:rPr>
          <w:rFonts w:ascii="TH SarabunPSK" w:eastAsia="Times New Roman" w:hAnsi="TH SarabunPSK" w:cs="TH SarabunPSK"/>
          <w:i/>
          <w:noProof/>
          <w:kern w:val="0"/>
          <w:sz w:val="32"/>
          <w:szCs w:val="32"/>
          <w:lang w:val="id-ID" w:eastAsia="id-ID" w:bidi="ar-SA"/>
          <w14:ligatures w14:val="none"/>
        </w:rPr>
        <w:t xml:space="preserve"> 33</w:t>
      </w:r>
      <w:r w:rsidRPr="00E74E44">
        <w:rPr>
          <w:rFonts w:ascii="TH SarabunPSK" w:eastAsia="Times New Roman" w:hAnsi="TH SarabunPSK" w:cs="TH SarabunPSK"/>
          <w:noProof/>
          <w:kern w:val="0"/>
          <w:sz w:val="32"/>
          <w:szCs w:val="32"/>
          <w:lang w:val="id-ID" w:eastAsia="id-ID" w:bidi="ar-SA"/>
          <w14:ligatures w14:val="none"/>
        </w:rPr>
        <w:t>, 106417</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dib</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2020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106417</w:t>
      </w:r>
      <w:r w:rsidRPr="00E74E44">
        <w:rPr>
          <w:rFonts w:ascii="TH SarabunPSK" w:eastAsia="Times New Roman" w:hAnsi="TH SarabunPSK" w:cs="TH SarabunPSK"/>
          <w:noProof/>
          <w:kern w:val="0"/>
          <w:sz w:val="32"/>
          <w:szCs w:val="32"/>
          <w:cs/>
          <w:lang w:val="id-ID" w:eastAsia="id-ID"/>
          <w14:ligatures w14:val="none"/>
        </w:rPr>
        <w:t xml:space="preserve"> </w:t>
      </w:r>
    </w:p>
    <w:p w14:paraId="6457ACC9"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 xml:space="preserve">Abubakre, M., Zhou, Y., &amp; Zhou, Z. (2022). The impact of information technology culture and personal innovativeness in information technology on digital entrepreneurship success. </w:t>
      </w:r>
      <w:r w:rsidRPr="00E74E44">
        <w:rPr>
          <w:rFonts w:ascii="TH SarabunPSK" w:eastAsia="Times New Roman" w:hAnsi="TH SarabunPSK" w:cs="TH SarabunPSK"/>
          <w:i/>
          <w:iCs/>
          <w:noProof/>
          <w:kern w:val="0"/>
          <w:sz w:val="32"/>
          <w:szCs w:val="32"/>
          <w:lang w:val="id-ID" w:eastAsia="id-ID" w:bidi="ar-SA"/>
          <w14:ligatures w14:val="none"/>
        </w:rPr>
        <w:t>Information Technology &amp; People</w:t>
      </w:r>
      <w:r w:rsidRPr="00E74E44">
        <w:rPr>
          <w:rFonts w:ascii="TH SarabunPSK" w:eastAsia="Times New Roman" w:hAnsi="TH SarabunPSK" w:cs="TH SarabunPSK"/>
          <w:noProof/>
          <w:kern w:val="0"/>
          <w:sz w:val="32"/>
          <w:szCs w:val="32"/>
          <w:lang w:val="id-ID" w:eastAsia="id-ID" w:bidi="ar-SA"/>
          <w14:ligatures w14:val="none"/>
        </w:rPr>
        <w:t>, 35(1), 204–231. https://doi.org/10.1108/ITP-01-2020-0002</w:t>
      </w:r>
    </w:p>
    <w:p w14:paraId="128C7AEE"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p>
    <w:p w14:paraId="3254C31F"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p>
    <w:p w14:paraId="78CE3AC0"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lastRenderedPageBreak/>
        <w:t xml:space="preserve">Akgün, A. E., &amp; Polat, V. (2021). Strategic orientations, marketing capabilities and innovativeness: An adaptive approach. </w:t>
      </w:r>
      <w:r w:rsidRPr="00E74E44">
        <w:rPr>
          <w:rFonts w:ascii="TH SarabunPSK" w:eastAsia="Times New Roman" w:hAnsi="TH SarabunPSK" w:cs="TH SarabunPSK"/>
          <w:i/>
          <w:iCs/>
          <w:noProof/>
          <w:kern w:val="0"/>
          <w:sz w:val="32"/>
          <w:szCs w:val="32"/>
          <w:lang w:val="id-ID" w:eastAsia="id-ID" w:bidi="ar-SA"/>
          <w14:ligatures w14:val="none"/>
        </w:rPr>
        <w:t>Journal of Business &amp; Industrial Marketing</w:t>
      </w:r>
      <w:r w:rsidRPr="00E74E44">
        <w:rPr>
          <w:rFonts w:ascii="TH SarabunPSK" w:eastAsia="Times New Roman" w:hAnsi="TH SarabunPSK" w:cs="TH SarabunPSK"/>
          <w:noProof/>
          <w:kern w:val="0"/>
          <w:sz w:val="32"/>
          <w:szCs w:val="32"/>
          <w:lang w:val="id-ID" w:eastAsia="id-ID" w:bidi="ar-SA"/>
          <w14:ligatures w14:val="none"/>
        </w:rPr>
        <w:t>, 37(4), 918–931. https://doi.org/10.1108/JBIM-09-2020-0435</w:t>
      </w:r>
    </w:p>
    <w:p w14:paraId="1AB0C453"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Allal</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Chérif, O</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Guaita</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Martínez, J</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M</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Montesinos Sansaloni, E</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2024</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Sustainable esports entrepreneurs in emerging countries</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Audacity, resourcefulness, innovation, transmission, and resilience in adversity</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Journal of Business Research</w:t>
      </w:r>
      <w:r w:rsidRPr="00E74E44">
        <w:rPr>
          <w:rFonts w:ascii="TH SarabunPSK" w:eastAsia="Times New Roman" w:hAnsi="TH SarabunPSK" w:cs="TH SarabunPSK"/>
          <w:noProof/>
          <w:kern w:val="0"/>
          <w:sz w:val="32"/>
          <w:szCs w:val="32"/>
          <w:lang w:val="id-ID" w:eastAsia="id-ID" w:bidi="ar-SA"/>
          <w14:ligatures w14:val="none"/>
        </w:rPr>
        <w:t>,</w:t>
      </w:r>
      <w:r w:rsidRPr="00E74E44">
        <w:rPr>
          <w:rFonts w:ascii="TH SarabunPSK" w:eastAsia="Times New Roman" w:hAnsi="TH SarabunPSK" w:cs="TH SarabunPSK"/>
          <w:i/>
          <w:noProof/>
          <w:kern w:val="0"/>
          <w:sz w:val="32"/>
          <w:szCs w:val="32"/>
          <w:lang w:val="id-ID" w:eastAsia="id-ID" w:bidi="ar-SA"/>
          <w14:ligatures w14:val="none"/>
        </w:rPr>
        <w:t xml:space="preserve"> 171</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 busres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2023</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114382</w:t>
      </w:r>
      <w:r w:rsidRPr="00E74E44">
        <w:rPr>
          <w:rFonts w:ascii="TH SarabunPSK" w:eastAsia="Times New Roman" w:hAnsi="TH SarabunPSK" w:cs="TH SarabunPSK"/>
          <w:noProof/>
          <w:kern w:val="0"/>
          <w:sz w:val="32"/>
          <w:szCs w:val="32"/>
          <w:cs/>
          <w:lang w:val="id-ID" w:eastAsia="id-ID"/>
          <w14:ligatures w14:val="none"/>
        </w:rPr>
        <w:t xml:space="preserve"> </w:t>
      </w:r>
    </w:p>
    <w:p w14:paraId="0A685F46"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Babin, J</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J</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Chauhan, H</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S</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Kistler, S</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L</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2024</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When pretty hurts</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Beauty premia and penalties in eSports</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Journal of Economic Behavior &amp; Organization</w:t>
      </w:r>
      <w:r w:rsidRPr="00E74E44">
        <w:rPr>
          <w:rFonts w:ascii="TH SarabunPSK" w:eastAsia="Times New Roman" w:hAnsi="TH SarabunPSK" w:cs="TH SarabunPSK"/>
          <w:noProof/>
          <w:kern w:val="0"/>
          <w:sz w:val="32"/>
          <w:szCs w:val="32"/>
          <w:lang w:val="id-ID" w:eastAsia="id-ID" w:bidi="ar-SA"/>
          <w14:ligatures w14:val="none"/>
        </w:rPr>
        <w:t>,</w:t>
      </w:r>
      <w:r w:rsidRPr="00E74E44">
        <w:rPr>
          <w:rFonts w:ascii="TH SarabunPSK" w:eastAsia="Times New Roman" w:hAnsi="TH SarabunPSK" w:cs="TH SarabunPSK"/>
          <w:i/>
          <w:noProof/>
          <w:kern w:val="0"/>
          <w:sz w:val="32"/>
          <w:szCs w:val="32"/>
          <w:lang w:val="id-ID" w:eastAsia="id-ID" w:bidi="ar-SA"/>
          <w14:ligatures w14:val="none"/>
        </w:rPr>
        <w:t xml:space="preserve"> 217</w:t>
      </w:r>
      <w:r w:rsidRPr="00E74E44">
        <w:rPr>
          <w:rFonts w:ascii="TH SarabunPSK" w:eastAsia="Times New Roman" w:hAnsi="TH SarabunPSK" w:cs="TH SarabunPSK"/>
          <w:noProof/>
          <w:kern w:val="0"/>
          <w:sz w:val="32"/>
          <w:szCs w:val="32"/>
          <w:lang w:val="id-ID" w:eastAsia="id-ID" w:bidi="ar-SA"/>
          <w14:ligatures w14:val="none"/>
        </w:rPr>
        <w:t>, 726</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741</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hint="cs"/>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jebo</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2023</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12</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002</w:t>
      </w:r>
      <w:r w:rsidRPr="00E74E44">
        <w:rPr>
          <w:rFonts w:ascii="TH SarabunPSK" w:eastAsia="Times New Roman" w:hAnsi="TH SarabunPSK" w:cs="TH SarabunPSK"/>
          <w:noProof/>
          <w:kern w:val="0"/>
          <w:sz w:val="32"/>
          <w:szCs w:val="32"/>
          <w:cs/>
          <w:lang w:val="id-ID" w:eastAsia="id-ID"/>
          <w14:ligatures w14:val="none"/>
        </w:rPr>
        <w:t xml:space="preserve"> </w:t>
      </w:r>
    </w:p>
    <w:p w14:paraId="611BBFF8"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Baptista, J</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Stein, M</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K</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Klein, S</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Watson</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Manheim, M</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B</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Lee, J</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2020</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Digital work and organisational transformation</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Emergent Digital</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Human work configurations in modern organisations</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The Journal of Strategic Information Systems</w:t>
      </w:r>
      <w:r w:rsidRPr="00E74E44">
        <w:rPr>
          <w:rFonts w:ascii="TH SarabunPSK" w:eastAsia="Times New Roman" w:hAnsi="TH SarabunPSK" w:cs="TH SarabunPSK"/>
          <w:noProof/>
          <w:kern w:val="0"/>
          <w:sz w:val="32"/>
          <w:szCs w:val="32"/>
          <w:lang w:val="id-ID" w:eastAsia="id-ID" w:bidi="ar-SA"/>
          <w14:ligatures w14:val="none"/>
        </w:rPr>
        <w:t>,</w:t>
      </w:r>
      <w:r w:rsidRPr="00E74E44">
        <w:rPr>
          <w:rFonts w:ascii="TH SarabunPSK" w:eastAsia="Times New Roman" w:hAnsi="TH SarabunPSK" w:cs="TH SarabunPSK"/>
          <w:i/>
          <w:noProof/>
          <w:kern w:val="0"/>
          <w:sz w:val="32"/>
          <w:szCs w:val="32"/>
          <w:lang w:val="id-ID" w:eastAsia="id-ID" w:bidi="ar-SA"/>
          <w14:ligatures w14:val="none"/>
        </w:rPr>
        <w:t xml:space="preserve"> 29</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2</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 xml:space="preserve"> 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jsis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2020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101618</w:t>
      </w:r>
      <w:r w:rsidRPr="00E74E44">
        <w:rPr>
          <w:rFonts w:ascii="TH SarabunPSK" w:eastAsia="Times New Roman" w:hAnsi="TH SarabunPSK" w:cs="TH SarabunPSK"/>
          <w:noProof/>
          <w:kern w:val="0"/>
          <w:sz w:val="32"/>
          <w:szCs w:val="32"/>
          <w:cs/>
          <w:lang w:val="id-ID" w:eastAsia="id-ID"/>
          <w14:ligatures w14:val="none"/>
        </w:rPr>
        <w:t xml:space="preserve"> </w:t>
      </w:r>
    </w:p>
    <w:p w14:paraId="00A06823"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Barnes, J</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Prescott, T</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Muncer, S</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2012</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Confirmatory factor analysis for the Eating Disorder Examination Questionnaire</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Evidence supporting a three</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factor model</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Eat Behav</w:t>
      </w:r>
      <w:r w:rsidRPr="00E74E44">
        <w:rPr>
          <w:rFonts w:ascii="TH SarabunPSK" w:eastAsia="Times New Roman" w:hAnsi="TH SarabunPSK" w:cs="TH SarabunPSK"/>
          <w:noProof/>
          <w:kern w:val="0"/>
          <w:sz w:val="32"/>
          <w:szCs w:val="32"/>
          <w:lang w:val="id-ID" w:eastAsia="id-ID" w:bidi="ar-SA"/>
          <w14:ligatures w14:val="none"/>
        </w:rPr>
        <w:t>,</w:t>
      </w:r>
      <w:r w:rsidRPr="00E74E44">
        <w:rPr>
          <w:rFonts w:ascii="TH SarabunPSK" w:eastAsia="Times New Roman" w:hAnsi="TH SarabunPSK" w:cs="TH SarabunPSK"/>
          <w:i/>
          <w:noProof/>
          <w:kern w:val="0"/>
          <w:sz w:val="32"/>
          <w:szCs w:val="32"/>
          <w:lang w:val="id-ID" w:eastAsia="id-ID" w:bidi="ar-SA"/>
          <w14:ligatures w14:val="none"/>
        </w:rPr>
        <w:t xml:space="preserve"> 13</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4</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379</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381</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eatbeh</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2012</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05</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001</w:t>
      </w:r>
      <w:r w:rsidRPr="00E74E44">
        <w:rPr>
          <w:rFonts w:ascii="TH SarabunPSK" w:eastAsia="Times New Roman" w:hAnsi="TH SarabunPSK" w:cs="TH SarabunPSK"/>
          <w:noProof/>
          <w:kern w:val="0"/>
          <w:sz w:val="32"/>
          <w:szCs w:val="32"/>
          <w:cs/>
          <w:lang w:val="id-ID" w:eastAsia="id-ID"/>
          <w14:ligatures w14:val="none"/>
        </w:rPr>
        <w:t xml:space="preserve"> </w:t>
      </w:r>
    </w:p>
    <w:p w14:paraId="24C7AE6E"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 xml:space="preserve">Ben Zammel, I. E. F., &amp; Najar, T. (2022). Nexus between technological capital, organizational structure and knowledge sharing in organizational restructuring initiatives. </w:t>
      </w:r>
      <w:r w:rsidRPr="00E74E44">
        <w:rPr>
          <w:rFonts w:ascii="TH SarabunPSK" w:eastAsia="Times New Roman" w:hAnsi="TH SarabunPSK" w:cs="TH SarabunPSK"/>
          <w:i/>
          <w:iCs/>
          <w:noProof/>
          <w:kern w:val="0"/>
          <w:sz w:val="32"/>
          <w:szCs w:val="32"/>
          <w:lang w:val="id-ID" w:eastAsia="id-ID" w:bidi="ar-SA"/>
          <w14:ligatures w14:val="none"/>
        </w:rPr>
        <w:t>VINE Journal of Information and Knowledge Management Systems</w:t>
      </w:r>
      <w:r w:rsidRPr="00E74E44">
        <w:rPr>
          <w:rFonts w:ascii="TH SarabunPSK" w:eastAsia="Times New Roman" w:hAnsi="TH SarabunPSK" w:cs="TH SarabunPSK"/>
          <w:noProof/>
          <w:kern w:val="0"/>
          <w:sz w:val="32"/>
          <w:szCs w:val="32"/>
          <w:lang w:val="id-ID" w:eastAsia="id-ID" w:bidi="ar-SA"/>
          <w14:ligatures w14:val="none"/>
        </w:rPr>
        <w:t>, 54(6). https://doi.org/10. 1108/VJIKMS-09-2021-0191</w:t>
      </w:r>
    </w:p>
    <w:p w14:paraId="1B7B6FC8"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 xml:space="preserve">Borazon, E. Q., Huang, Y.-C., &amp; Liu, J.-M. (2022). Green market orientation and organizational performance in Taiwan’s electric and electronic industry: The mediating role of green supply chain management capability. </w:t>
      </w:r>
      <w:r w:rsidRPr="00E74E44">
        <w:rPr>
          <w:rFonts w:ascii="TH SarabunPSK" w:eastAsia="Times New Roman" w:hAnsi="TH SarabunPSK" w:cs="TH SarabunPSK"/>
          <w:i/>
          <w:iCs/>
          <w:noProof/>
          <w:kern w:val="0"/>
          <w:sz w:val="32"/>
          <w:szCs w:val="32"/>
          <w:lang w:val="id-ID" w:eastAsia="id-ID" w:bidi="ar-SA"/>
          <w14:ligatures w14:val="none"/>
        </w:rPr>
        <w:t>Journal of Business &amp; Industrial Marketing</w:t>
      </w:r>
      <w:r w:rsidRPr="00E74E44">
        <w:rPr>
          <w:rFonts w:ascii="TH SarabunPSK" w:eastAsia="Times New Roman" w:hAnsi="TH SarabunPSK" w:cs="TH SarabunPSK"/>
          <w:noProof/>
          <w:kern w:val="0"/>
          <w:sz w:val="32"/>
          <w:szCs w:val="32"/>
          <w:lang w:val="id-ID" w:eastAsia="id-ID" w:bidi="ar-SA"/>
          <w14:ligatures w14:val="none"/>
        </w:rPr>
        <w:t>, 37(7), 1475–1496. https://doi.org/10.1108/JBIM-07-2020-0321</w:t>
      </w:r>
    </w:p>
    <w:p w14:paraId="697C0503"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Chanias, S</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Myers, M</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D</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Hess, T</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2019</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Digital transformation strategy making in pre</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digital organizations</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The case of a financial services provider</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The Journal of Strategic Information Systems</w:t>
      </w:r>
      <w:r w:rsidRPr="00E74E44">
        <w:rPr>
          <w:rFonts w:ascii="TH SarabunPSK" w:eastAsia="Times New Roman" w:hAnsi="TH SarabunPSK" w:cs="TH SarabunPSK"/>
          <w:noProof/>
          <w:kern w:val="0"/>
          <w:sz w:val="32"/>
          <w:szCs w:val="32"/>
          <w:lang w:val="id-ID" w:eastAsia="id-ID" w:bidi="ar-SA"/>
          <w14:ligatures w14:val="none"/>
        </w:rPr>
        <w:t>,</w:t>
      </w:r>
      <w:r w:rsidRPr="00E74E44">
        <w:rPr>
          <w:rFonts w:ascii="TH SarabunPSK" w:eastAsia="Times New Roman" w:hAnsi="TH SarabunPSK" w:cs="TH SarabunPSK"/>
          <w:i/>
          <w:noProof/>
          <w:kern w:val="0"/>
          <w:sz w:val="32"/>
          <w:szCs w:val="32"/>
          <w:lang w:val="id-ID" w:eastAsia="id-ID" w:bidi="ar-SA"/>
          <w14:ligatures w14:val="none"/>
        </w:rPr>
        <w:t xml:space="preserve"> 28</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1</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17</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33</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jsis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2018</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11</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003</w:t>
      </w:r>
      <w:r w:rsidRPr="00E74E44">
        <w:rPr>
          <w:rFonts w:ascii="TH SarabunPSK" w:eastAsia="Times New Roman" w:hAnsi="TH SarabunPSK" w:cs="TH SarabunPSK"/>
          <w:noProof/>
          <w:kern w:val="0"/>
          <w:sz w:val="32"/>
          <w:szCs w:val="32"/>
          <w:cs/>
          <w:lang w:val="id-ID" w:eastAsia="id-ID"/>
          <w14:ligatures w14:val="none"/>
        </w:rPr>
        <w:t xml:space="preserve"> </w:t>
      </w:r>
    </w:p>
    <w:p w14:paraId="55D932DF"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lastRenderedPageBreak/>
        <w:t>Chen, J</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Wu, Y</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2024</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Would you be willing to purchase virtual gifts during esports live streams? Streamer characteristics and cultural traits</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Computers in Human Behavior</w:t>
      </w:r>
      <w:r w:rsidRPr="00E74E44">
        <w:rPr>
          <w:rFonts w:ascii="TH SarabunPSK" w:eastAsia="Times New Roman" w:hAnsi="TH SarabunPSK" w:cs="TH SarabunPSK"/>
          <w:noProof/>
          <w:kern w:val="0"/>
          <w:sz w:val="32"/>
          <w:szCs w:val="32"/>
          <w:lang w:val="id-ID" w:eastAsia="id-ID" w:bidi="ar-SA"/>
          <w14:ligatures w14:val="none"/>
        </w:rPr>
        <w:t>,</w:t>
      </w:r>
      <w:r w:rsidRPr="00E74E44">
        <w:rPr>
          <w:rFonts w:ascii="TH SarabunPSK" w:eastAsia="Times New Roman" w:hAnsi="TH SarabunPSK" w:cs="TH SarabunPSK"/>
          <w:i/>
          <w:noProof/>
          <w:kern w:val="0"/>
          <w:sz w:val="32"/>
          <w:szCs w:val="32"/>
          <w:lang w:val="id-ID" w:eastAsia="id-ID" w:bidi="ar-SA"/>
          <w14:ligatures w14:val="none"/>
        </w:rPr>
        <w:t xml:space="preserve"> 152</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chb</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2023</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108075</w:t>
      </w:r>
      <w:r w:rsidRPr="00E74E44">
        <w:rPr>
          <w:rFonts w:ascii="TH SarabunPSK" w:eastAsia="Times New Roman" w:hAnsi="TH SarabunPSK" w:cs="TH SarabunPSK"/>
          <w:noProof/>
          <w:kern w:val="0"/>
          <w:sz w:val="32"/>
          <w:szCs w:val="32"/>
          <w:cs/>
          <w:lang w:val="id-ID" w:eastAsia="id-ID"/>
          <w14:ligatures w14:val="none"/>
        </w:rPr>
        <w:t xml:space="preserve"> </w:t>
      </w:r>
    </w:p>
    <w:p w14:paraId="08817107"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 xml:space="preserve">Cote, A. C., Can, O., Foxman, M., Harris, B. C., Hansen, J., Ur Rahman, M. W., &amp; Fickle, T. (2023). The COVID season: U.S. collegiate esports programs’ material challenges and opportunities during the 2020–21 pandemic. </w:t>
      </w:r>
      <w:r w:rsidRPr="00E74E44">
        <w:rPr>
          <w:rFonts w:ascii="TH SarabunPSK" w:eastAsia="Times New Roman" w:hAnsi="TH SarabunPSK" w:cs="TH SarabunPSK"/>
          <w:i/>
          <w:iCs/>
          <w:noProof/>
          <w:kern w:val="0"/>
          <w:sz w:val="32"/>
          <w:szCs w:val="32"/>
          <w:lang w:val="id-ID" w:eastAsia="id-ID" w:bidi="ar-SA"/>
          <w14:ligatures w14:val="none"/>
        </w:rPr>
        <w:t>Games and Culture</w:t>
      </w:r>
      <w:r w:rsidRPr="00E74E44">
        <w:rPr>
          <w:rFonts w:ascii="TH SarabunPSK" w:eastAsia="Times New Roman" w:hAnsi="TH SarabunPSK" w:cs="TH SarabunPSK"/>
          <w:noProof/>
          <w:kern w:val="0"/>
          <w:sz w:val="32"/>
          <w:szCs w:val="32"/>
          <w:lang w:val="id-ID" w:eastAsia="id-ID" w:bidi="ar-SA"/>
          <w14:ligatures w14:val="none"/>
        </w:rPr>
        <w:t>, 18(2), 229–250. https://doi.org/10.1177/15554120221088116</w:t>
      </w:r>
    </w:p>
    <w:p w14:paraId="68D9CF1D"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Ginting, H</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Mahiranissa, A</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Bekti, R</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Febriansyah, H</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2020</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The effect of outing Team Building training on soft skills among MBA students</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The International Journal of Management Education</w:t>
      </w:r>
      <w:r w:rsidRPr="00E74E44">
        <w:rPr>
          <w:rFonts w:ascii="TH SarabunPSK" w:eastAsia="Times New Roman" w:hAnsi="TH SarabunPSK" w:cs="TH SarabunPSK"/>
          <w:noProof/>
          <w:kern w:val="0"/>
          <w:sz w:val="32"/>
          <w:szCs w:val="32"/>
          <w:lang w:val="id-ID" w:eastAsia="id-ID" w:bidi="ar-SA"/>
          <w14:ligatures w14:val="none"/>
        </w:rPr>
        <w:t>,</w:t>
      </w:r>
      <w:r w:rsidRPr="00E74E44">
        <w:rPr>
          <w:rFonts w:ascii="TH SarabunPSK" w:eastAsia="Times New Roman" w:hAnsi="TH SarabunPSK" w:cs="TH SarabunPSK"/>
          <w:i/>
          <w:noProof/>
          <w:kern w:val="0"/>
          <w:sz w:val="32"/>
          <w:szCs w:val="32"/>
          <w:lang w:val="id-ID" w:eastAsia="id-ID" w:bidi="ar-SA"/>
          <w14:ligatures w14:val="none"/>
        </w:rPr>
        <w:t xml:space="preserve"> 18</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3</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ijme</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2020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100423</w:t>
      </w:r>
      <w:r w:rsidRPr="00E74E44">
        <w:rPr>
          <w:rFonts w:ascii="TH SarabunPSK" w:eastAsia="Times New Roman" w:hAnsi="TH SarabunPSK" w:cs="TH SarabunPSK"/>
          <w:noProof/>
          <w:kern w:val="0"/>
          <w:sz w:val="32"/>
          <w:szCs w:val="32"/>
          <w:cs/>
          <w:lang w:val="id-ID" w:eastAsia="id-ID"/>
          <w14:ligatures w14:val="none"/>
        </w:rPr>
        <w:t xml:space="preserve"> </w:t>
      </w:r>
    </w:p>
    <w:p w14:paraId="06EB86DF"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Jordan</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Vallverdú, V</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Plaza</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Navas, M</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A</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Maria Raya, J</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Torres</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Pruñonosa, J</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2024</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The Intellectual Structure of Esports Research</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Entertainment Computing</w:t>
      </w:r>
      <w:r w:rsidRPr="00E74E44">
        <w:rPr>
          <w:rFonts w:ascii="TH SarabunPSK" w:eastAsia="Times New Roman" w:hAnsi="TH SarabunPSK" w:cs="TH SarabunPSK"/>
          <w:noProof/>
          <w:kern w:val="0"/>
          <w:sz w:val="32"/>
          <w:szCs w:val="32"/>
          <w:lang w:val="id-ID" w:eastAsia="id-ID" w:bidi="ar-SA"/>
          <w14:ligatures w14:val="none"/>
        </w:rPr>
        <w:t>,</w:t>
      </w:r>
      <w:r w:rsidRPr="00E74E44">
        <w:rPr>
          <w:rFonts w:ascii="TH SarabunPSK" w:eastAsia="Times New Roman" w:hAnsi="TH SarabunPSK" w:cs="TH SarabunPSK"/>
          <w:i/>
          <w:noProof/>
          <w:kern w:val="0"/>
          <w:sz w:val="32"/>
          <w:szCs w:val="32"/>
          <w:lang w:val="id-ID" w:eastAsia="id-ID" w:bidi="ar-SA"/>
          <w14:ligatures w14:val="none"/>
        </w:rPr>
        <w:t xml:space="preserve"> 49</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hint="cs"/>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hint="cs"/>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entcom</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2023</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100628</w:t>
      </w:r>
      <w:r w:rsidRPr="00E74E44">
        <w:rPr>
          <w:rFonts w:ascii="TH SarabunPSK" w:eastAsia="Times New Roman" w:hAnsi="TH SarabunPSK" w:cs="TH SarabunPSK"/>
          <w:noProof/>
          <w:kern w:val="0"/>
          <w:sz w:val="32"/>
          <w:szCs w:val="32"/>
          <w:cs/>
          <w:lang w:val="id-ID" w:eastAsia="id-ID"/>
          <w14:ligatures w14:val="none"/>
        </w:rPr>
        <w:t xml:space="preserve"> </w:t>
      </w:r>
    </w:p>
    <w:p w14:paraId="14A1CBBE"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Ke, X</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Wagner, C</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2024</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What explains the next level of gaming? An experience</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anticipation model for amateur esports participation</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Computers in Human Behavior</w:t>
      </w:r>
      <w:r w:rsidRPr="00E74E44">
        <w:rPr>
          <w:rFonts w:ascii="TH SarabunPSK" w:eastAsia="Times New Roman" w:hAnsi="TH SarabunPSK" w:cs="TH SarabunPSK"/>
          <w:noProof/>
          <w:kern w:val="0"/>
          <w:sz w:val="32"/>
          <w:szCs w:val="32"/>
          <w:lang w:val="id-ID" w:eastAsia="id-ID" w:bidi="ar-SA"/>
          <w14:ligatures w14:val="none"/>
        </w:rPr>
        <w:t>,</w:t>
      </w:r>
      <w:r w:rsidRPr="00E74E44">
        <w:rPr>
          <w:rFonts w:ascii="TH SarabunPSK" w:eastAsia="Times New Roman" w:hAnsi="TH SarabunPSK" w:cs="TH SarabunPSK"/>
          <w:i/>
          <w:noProof/>
          <w:kern w:val="0"/>
          <w:sz w:val="32"/>
          <w:szCs w:val="32"/>
          <w:lang w:val="id-ID" w:eastAsia="id-ID" w:bidi="ar-SA"/>
          <w14:ligatures w14:val="none"/>
        </w:rPr>
        <w:t xml:space="preserve"> 153</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chb</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2023</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108125</w:t>
      </w:r>
      <w:r w:rsidRPr="00E74E44">
        <w:rPr>
          <w:rFonts w:ascii="TH SarabunPSK" w:eastAsia="Times New Roman" w:hAnsi="TH SarabunPSK" w:cs="TH SarabunPSK"/>
          <w:noProof/>
          <w:kern w:val="0"/>
          <w:sz w:val="32"/>
          <w:szCs w:val="32"/>
          <w:cs/>
          <w:lang w:val="id-ID" w:eastAsia="id-ID"/>
          <w14:ligatures w14:val="none"/>
        </w:rPr>
        <w:t xml:space="preserve"> </w:t>
      </w:r>
    </w:p>
    <w:p w14:paraId="1E11EA61"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Klarenberg, H</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Dekkers, I</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A</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Peeters, C</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F</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W</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de Mutsert, R</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Jukema, J</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W</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Rosendaal, F</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R</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Leiner, T</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Gosselink, M</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Froeling, M</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Strijkers, G</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J</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Boekholdt, S</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M</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Lamb, H</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J</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2022</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Confirmatory factor analysis including MRI</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derived adipose tissues quantification improves associations of metabolic dysregulation to diastolic dysfunction</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J Diabetes Complications</w:t>
      </w:r>
      <w:r w:rsidRPr="00E74E44">
        <w:rPr>
          <w:rFonts w:ascii="TH SarabunPSK" w:eastAsia="Times New Roman" w:hAnsi="TH SarabunPSK" w:cs="TH SarabunPSK"/>
          <w:noProof/>
          <w:kern w:val="0"/>
          <w:sz w:val="32"/>
          <w:szCs w:val="32"/>
          <w:lang w:val="id-ID" w:eastAsia="id-ID" w:bidi="ar-SA"/>
          <w14:ligatures w14:val="none"/>
        </w:rPr>
        <w:t>, 108202</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jdiacomp</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2022</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108202</w:t>
      </w:r>
      <w:r w:rsidRPr="00E74E44">
        <w:rPr>
          <w:rFonts w:ascii="TH SarabunPSK" w:eastAsia="Times New Roman" w:hAnsi="TH SarabunPSK" w:cs="TH SarabunPSK"/>
          <w:noProof/>
          <w:kern w:val="0"/>
          <w:sz w:val="32"/>
          <w:szCs w:val="32"/>
          <w:cs/>
          <w:lang w:val="id-ID" w:eastAsia="id-ID"/>
          <w14:ligatures w14:val="none"/>
        </w:rPr>
        <w:t xml:space="preserve"> </w:t>
      </w:r>
    </w:p>
    <w:p w14:paraId="3059411D"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Mancı, E</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Güdücü, Ç</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Günay, E</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Güvendi, G</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Campbell, M</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Bediz, C</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Ş</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2024</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The relationship between esports game genres and cognitive performance</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A comparison between first</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person shooter vs</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multiplayer online battle arena games in younger adults</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Entertainment Computing</w:t>
      </w:r>
      <w:r w:rsidRPr="00E74E44">
        <w:rPr>
          <w:rFonts w:ascii="TH SarabunPSK" w:eastAsia="Times New Roman" w:hAnsi="TH SarabunPSK" w:cs="TH SarabunPSK"/>
          <w:noProof/>
          <w:kern w:val="0"/>
          <w:sz w:val="32"/>
          <w:szCs w:val="32"/>
          <w:lang w:val="id-ID" w:eastAsia="id-ID" w:bidi="ar-SA"/>
          <w14:ligatures w14:val="none"/>
        </w:rPr>
        <w:t>,</w:t>
      </w:r>
      <w:r w:rsidRPr="00E74E44">
        <w:rPr>
          <w:rFonts w:ascii="TH SarabunPSK" w:eastAsia="Times New Roman" w:hAnsi="TH SarabunPSK" w:cs="TH SarabunPSK"/>
          <w:i/>
          <w:noProof/>
          <w:kern w:val="0"/>
          <w:sz w:val="32"/>
          <w:szCs w:val="32"/>
          <w:lang w:val="id-ID" w:eastAsia="id-ID" w:bidi="ar-SA"/>
          <w14:ligatures w14:val="none"/>
        </w:rPr>
        <w:t xml:space="preserve"> 50</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entcom</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2024</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100640</w:t>
      </w:r>
      <w:r w:rsidRPr="00E74E44">
        <w:rPr>
          <w:rFonts w:ascii="TH SarabunPSK" w:eastAsia="Times New Roman" w:hAnsi="TH SarabunPSK" w:cs="TH SarabunPSK"/>
          <w:noProof/>
          <w:kern w:val="0"/>
          <w:sz w:val="32"/>
          <w:szCs w:val="32"/>
          <w:cs/>
          <w:lang w:val="id-ID" w:eastAsia="id-ID"/>
          <w14:ligatures w14:val="none"/>
        </w:rPr>
        <w:t xml:space="preserve"> </w:t>
      </w:r>
    </w:p>
    <w:p w14:paraId="6B23C003" w14:textId="77777777" w:rsidR="00B46E97" w:rsidRPr="00E74E44" w:rsidRDefault="00B46E97" w:rsidP="00B46E97">
      <w:pPr>
        <w:ind w:left="720" w:hanging="720"/>
        <w:rPr>
          <w:rFonts w:ascii="TH SarabunPSK" w:eastAsia="Times New Roman" w:hAnsi="TH SarabunPSK" w:cs="TH SarabunPSK"/>
          <w:noProof/>
          <w:kern w:val="0"/>
          <w:sz w:val="32"/>
          <w:szCs w:val="32"/>
          <w:lang w:eastAsia="id-ID" w:bidi="ar-SA"/>
          <w14:ligatures w14:val="none"/>
        </w:rPr>
      </w:pPr>
      <w:r w:rsidRPr="00E74E44">
        <w:rPr>
          <w:rFonts w:ascii="TH SarabunPSK" w:eastAsia="Times New Roman" w:hAnsi="TH SarabunPSK" w:cs="TH SarabunPSK"/>
          <w:noProof/>
          <w:kern w:val="0"/>
          <w:sz w:val="32"/>
          <w:szCs w:val="32"/>
          <w:lang w:eastAsia="id-ID" w:bidi="ar-SA"/>
          <w14:ligatures w14:val="none"/>
        </w:rPr>
        <w:t xml:space="preserve">Rambe, P., &amp; Khaola, P. (2022). The impact of innovation on agribusiness competitiveness: The mediating role of technology transfer and productivity. </w:t>
      </w:r>
      <w:r w:rsidRPr="00E74E44">
        <w:rPr>
          <w:rFonts w:ascii="TH SarabunPSK" w:eastAsia="Times New Roman" w:hAnsi="TH SarabunPSK" w:cs="TH SarabunPSK"/>
          <w:i/>
          <w:iCs/>
          <w:noProof/>
          <w:kern w:val="0"/>
          <w:sz w:val="32"/>
          <w:szCs w:val="32"/>
          <w:lang w:eastAsia="id-ID" w:bidi="ar-SA"/>
          <w14:ligatures w14:val="none"/>
        </w:rPr>
        <w:t>European Journal of Innovation Management</w:t>
      </w:r>
      <w:r w:rsidRPr="00E74E44">
        <w:rPr>
          <w:rFonts w:ascii="TH SarabunPSK" w:eastAsia="Times New Roman" w:hAnsi="TH SarabunPSK" w:cs="TH SarabunPSK"/>
          <w:noProof/>
          <w:kern w:val="0"/>
          <w:sz w:val="32"/>
          <w:szCs w:val="32"/>
          <w:lang w:eastAsia="id-ID" w:bidi="ar-SA"/>
          <w14:ligatures w14:val="none"/>
        </w:rPr>
        <w:t>, 25(3), 741–773. https://doi.org/10.1108/EJIM-05-2020-0180</w:t>
      </w:r>
    </w:p>
    <w:p w14:paraId="558A220F"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 xml:space="preserve">Royo-Vela, M., Amezquita Salazar, J. C., &amp; Puig Blanco, F. (2022). Market orientation in service clusters and its effect on the marketing performance of SMEs. </w:t>
      </w:r>
      <w:r w:rsidRPr="00E74E44">
        <w:rPr>
          <w:rFonts w:ascii="TH SarabunPSK" w:eastAsia="Times New Roman" w:hAnsi="TH SarabunPSK" w:cs="TH SarabunPSK"/>
          <w:i/>
          <w:iCs/>
          <w:noProof/>
          <w:kern w:val="0"/>
          <w:sz w:val="32"/>
          <w:szCs w:val="32"/>
          <w:lang w:val="id-ID" w:eastAsia="id-ID" w:bidi="ar-SA"/>
          <w14:ligatures w14:val="none"/>
        </w:rPr>
        <w:t xml:space="preserve">European Journal of </w:t>
      </w:r>
      <w:r w:rsidRPr="00E74E44">
        <w:rPr>
          <w:rFonts w:ascii="TH SarabunPSK" w:eastAsia="Times New Roman" w:hAnsi="TH SarabunPSK" w:cs="TH SarabunPSK"/>
          <w:i/>
          <w:iCs/>
          <w:noProof/>
          <w:kern w:val="0"/>
          <w:sz w:val="32"/>
          <w:szCs w:val="32"/>
          <w:lang w:val="id-ID" w:eastAsia="id-ID" w:bidi="ar-SA"/>
          <w14:ligatures w14:val="none"/>
        </w:rPr>
        <w:lastRenderedPageBreak/>
        <w:t>Management and Business Economics</w:t>
      </w:r>
      <w:r w:rsidRPr="00E74E44">
        <w:rPr>
          <w:rFonts w:ascii="TH SarabunPSK" w:eastAsia="Times New Roman" w:hAnsi="TH SarabunPSK" w:cs="TH SarabunPSK"/>
          <w:noProof/>
          <w:kern w:val="0"/>
          <w:sz w:val="32"/>
          <w:szCs w:val="32"/>
          <w:lang w:val="id-ID" w:eastAsia="id-ID" w:bidi="ar-SA"/>
          <w14:ligatures w14:val="none"/>
        </w:rPr>
        <w:t>, 31(1), 1–21. https://doi.org/10.1108/EJMBE-12-2019-0216</w:t>
      </w:r>
    </w:p>
    <w:p w14:paraId="2F4973BD"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 xml:space="preserve">Sawangrat, N. (2021). Strategies of advertising creativity for life insurance business. </w:t>
      </w:r>
      <w:r w:rsidRPr="00E74E44">
        <w:rPr>
          <w:rFonts w:ascii="TH SarabunPSK" w:eastAsia="Times New Roman" w:hAnsi="TH SarabunPSK" w:cs="TH SarabunPSK"/>
          <w:i/>
          <w:iCs/>
          <w:noProof/>
          <w:kern w:val="0"/>
          <w:sz w:val="32"/>
          <w:szCs w:val="32"/>
          <w:lang w:val="id-ID" w:eastAsia="id-ID" w:bidi="ar-SA"/>
          <w14:ligatures w14:val="none"/>
        </w:rPr>
        <w:t>Journal of Industrial Business Administration</w:t>
      </w:r>
      <w:r w:rsidRPr="00E74E44">
        <w:rPr>
          <w:rFonts w:ascii="TH SarabunPSK" w:eastAsia="Times New Roman" w:hAnsi="TH SarabunPSK" w:cs="TH SarabunPSK"/>
          <w:noProof/>
          <w:kern w:val="0"/>
          <w:sz w:val="32"/>
          <w:szCs w:val="32"/>
          <w:lang w:val="id-ID" w:eastAsia="id-ID" w:bidi="ar-SA"/>
          <w14:ligatures w14:val="none"/>
        </w:rPr>
        <w:t>, 3(2), 71–81.</w:t>
      </w:r>
    </w:p>
    <w:p w14:paraId="2FE9EEC8"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 xml:space="preserve">Soto-Acosta, P., Popa, S., &amp; Martinez-Conesa, I. (2018). Information technology, knowledge management and environmental dynamism as drivers of innovation ambidexterity: A study in SMEs. </w:t>
      </w:r>
      <w:r w:rsidRPr="00E74E44">
        <w:rPr>
          <w:rFonts w:ascii="TH SarabunPSK" w:eastAsia="Times New Roman" w:hAnsi="TH SarabunPSK" w:cs="TH SarabunPSK"/>
          <w:i/>
          <w:iCs/>
          <w:noProof/>
          <w:kern w:val="0"/>
          <w:sz w:val="32"/>
          <w:szCs w:val="32"/>
          <w:lang w:val="id-ID" w:eastAsia="id-ID" w:bidi="ar-SA"/>
          <w14:ligatures w14:val="none"/>
        </w:rPr>
        <w:t>Journal of Knowledge Management</w:t>
      </w:r>
      <w:r w:rsidRPr="00E74E44">
        <w:rPr>
          <w:rFonts w:ascii="TH SarabunPSK" w:eastAsia="Times New Roman" w:hAnsi="TH SarabunPSK" w:cs="TH SarabunPSK"/>
          <w:noProof/>
          <w:kern w:val="0"/>
          <w:sz w:val="32"/>
          <w:szCs w:val="32"/>
          <w:lang w:val="id-ID" w:eastAsia="id-ID" w:bidi="ar-SA"/>
          <w14:ligatures w14:val="none"/>
        </w:rPr>
        <w:t>, 22(4), 824–849.</w:t>
      </w:r>
    </w:p>
    <w:p w14:paraId="3C7A2F52" w14:textId="77777777" w:rsidR="00B46E97" w:rsidRPr="00E74E44" w:rsidRDefault="00B46E97" w:rsidP="00B46E97">
      <w:pPr>
        <w:ind w:left="720" w:hanging="720"/>
        <w:rPr>
          <w:rFonts w:ascii="TH SarabunPSK" w:eastAsia="Times New Roman" w:hAnsi="TH SarabunPSK" w:cs="TH SarabunPSK"/>
          <w:noProof/>
          <w:kern w:val="0"/>
          <w:sz w:val="32"/>
          <w:szCs w:val="32"/>
          <w:lang w:val="id-ID"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Tang, J., &amp; Liu, Q. (2022). Internal capital allocation in IPOs and corporate innovation: The moderating role of political connections. Accounting &amp; Finance, 62, 4663–4693. https://doi.org/10.1111/acfi.12982</w:t>
      </w:r>
    </w:p>
    <w:p w14:paraId="36762D43" w14:textId="77777777" w:rsidR="00B46E97" w:rsidRPr="00E74E44" w:rsidRDefault="00B46E97" w:rsidP="00B46E97">
      <w:pPr>
        <w:ind w:left="720" w:hanging="720"/>
        <w:rPr>
          <w:rFonts w:ascii="TH SarabunPSK" w:eastAsia="Times New Roman" w:hAnsi="TH SarabunPSK" w:cs="TH SarabunPSK"/>
          <w:noProof/>
          <w:kern w:val="0"/>
          <w:sz w:val="32"/>
          <w:szCs w:val="32"/>
          <w:lang w:eastAsia="id-ID" w:bidi="ar-SA"/>
          <w14:ligatures w14:val="none"/>
        </w:rPr>
      </w:pPr>
      <w:r w:rsidRPr="00E74E44">
        <w:rPr>
          <w:rFonts w:ascii="TH SarabunPSK" w:eastAsia="Times New Roman" w:hAnsi="TH SarabunPSK" w:cs="TH SarabunPSK"/>
          <w:noProof/>
          <w:kern w:val="0"/>
          <w:sz w:val="32"/>
          <w:szCs w:val="32"/>
          <w:lang w:val="id-ID" w:eastAsia="id-ID" w:bidi="ar-SA"/>
          <w14:ligatures w14:val="none"/>
        </w:rPr>
        <w:t>Verdugo, M</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A</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Guillen, V</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M</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Arias, B</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Vicente, E</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 &amp; Badia, M</w:t>
      </w:r>
      <w:r w:rsidRPr="00E74E44">
        <w:rPr>
          <w:rFonts w:ascii="TH SarabunPSK" w:eastAsia="Times New Roman" w:hAnsi="TH SarabunPSK" w:cs="TH SarabunPSK"/>
          <w:noProof/>
          <w:kern w:val="0"/>
          <w:sz w:val="32"/>
          <w:szCs w:val="32"/>
          <w:cs/>
          <w:lang w:val="id-ID" w:eastAsia="id-ID"/>
          <w14:ligatures w14:val="none"/>
        </w:rPr>
        <w:t>. (</w:t>
      </w:r>
      <w:r w:rsidRPr="00E74E44">
        <w:rPr>
          <w:rFonts w:ascii="TH SarabunPSK" w:eastAsia="Times New Roman" w:hAnsi="TH SarabunPSK" w:cs="TH SarabunPSK"/>
          <w:noProof/>
          <w:kern w:val="0"/>
          <w:sz w:val="32"/>
          <w:szCs w:val="32"/>
          <w:lang w:val="id-ID" w:eastAsia="id-ID" w:bidi="ar-SA"/>
          <w14:ligatures w14:val="none"/>
        </w:rPr>
        <w:t>2016</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noProof/>
          <w:kern w:val="0"/>
          <w:sz w:val="32"/>
          <w:szCs w:val="32"/>
          <w:lang w:val="id-ID" w:eastAsia="id-ID" w:bidi="ar-SA"/>
          <w14:ligatures w14:val="none"/>
        </w:rPr>
        <w:t>Confirmatory factor analysis of the supports intensity scale for children</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Times New Roman" w:hAnsi="TH SarabunPSK" w:cs="TH SarabunPSK"/>
          <w:i/>
          <w:noProof/>
          <w:kern w:val="0"/>
          <w:sz w:val="32"/>
          <w:szCs w:val="32"/>
          <w:lang w:val="id-ID" w:eastAsia="id-ID" w:bidi="ar-SA"/>
          <w14:ligatures w14:val="none"/>
        </w:rPr>
        <w:t>Res Dev Disabil</w:t>
      </w:r>
      <w:r w:rsidRPr="00E74E44">
        <w:rPr>
          <w:rFonts w:ascii="TH SarabunPSK" w:eastAsia="Times New Roman" w:hAnsi="TH SarabunPSK" w:cs="TH SarabunPSK"/>
          <w:noProof/>
          <w:kern w:val="0"/>
          <w:sz w:val="32"/>
          <w:szCs w:val="32"/>
          <w:lang w:val="id-ID" w:eastAsia="id-ID" w:bidi="ar-SA"/>
          <w14:ligatures w14:val="none"/>
        </w:rPr>
        <w:t>,</w:t>
      </w:r>
      <w:r w:rsidRPr="00E74E44">
        <w:rPr>
          <w:rFonts w:ascii="TH SarabunPSK" w:eastAsia="Times New Roman" w:hAnsi="TH SarabunPSK" w:cs="TH SarabunPSK"/>
          <w:i/>
          <w:noProof/>
          <w:kern w:val="0"/>
          <w:sz w:val="32"/>
          <w:szCs w:val="32"/>
          <w:lang w:val="id-ID" w:eastAsia="id-ID" w:bidi="ar-SA"/>
          <w14:ligatures w14:val="none"/>
        </w:rPr>
        <w:t xml:space="preserve"> 49</w:t>
      </w:r>
      <w:r w:rsidRPr="00E74E44">
        <w:rPr>
          <w:rFonts w:ascii="TH SarabunPSK" w:eastAsia="Times New Roman" w:hAnsi="TH SarabunPSK" w:cs="TH SarabunPSK"/>
          <w:i/>
          <w:iCs/>
          <w:noProof/>
          <w:kern w:val="0"/>
          <w:sz w:val="32"/>
          <w:szCs w:val="32"/>
          <w:cs/>
          <w:lang w:val="id-ID" w:eastAsia="id-ID"/>
          <w14:ligatures w14:val="none"/>
        </w:rPr>
        <w:t>-</w:t>
      </w:r>
      <w:r w:rsidRPr="00E74E44">
        <w:rPr>
          <w:rFonts w:ascii="TH SarabunPSK" w:eastAsia="Times New Roman" w:hAnsi="TH SarabunPSK" w:cs="TH SarabunPSK"/>
          <w:i/>
          <w:noProof/>
          <w:kern w:val="0"/>
          <w:sz w:val="32"/>
          <w:szCs w:val="32"/>
          <w:lang w:val="id-ID" w:eastAsia="id-ID" w:bidi="ar-SA"/>
          <w14:ligatures w14:val="none"/>
        </w:rPr>
        <w:t>50</w:t>
      </w:r>
      <w:r w:rsidRPr="00E74E44">
        <w:rPr>
          <w:rFonts w:ascii="TH SarabunPSK" w:eastAsia="Times New Roman" w:hAnsi="TH SarabunPSK" w:cs="TH SarabunPSK"/>
          <w:noProof/>
          <w:kern w:val="0"/>
          <w:sz w:val="32"/>
          <w:szCs w:val="32"/>
          <w:lang w:val="id-ID" w:eastAsia="id-ID" w:bidi="ar-SA"/>
          <w14:ligatures w14:val="none"/>
        </w:rPr>
        <w:t>, 140</w:t>
      </w:r>
      <w:r w:rsidRPr="00E74E44">
        <w:rPr>
          <w:rFonts w:ascii="TH SarabunPSK" w:eastAsia="Times New Roman" w:hAnsi="TH SarabunPSK" w:cs="TH SarabunPSK"/>
          <w:noProof/>
          <w:kern w:val="0"/>
          <w:sz w:val="32"/>
          <w:szCs w:val="32"/>
          <w:cs/>
          <w:lang w:val="id-ID" w:eastAsia="id-ID"/>
          <w14:ligatures w14:val="none"/>
        </w:rPr>
        <w:t>-</w:t>
      </w:r>
      <w:r w:rsidRPr="00E74E44">
        <w:rPr>
          <w:rFonts w:ascii="TH SarabunPSK" w:eastAsia="Times New Roman" w:hAnsi="TH SarabunPSK" w:cs="TH SarabunPSK"/>
          <w:noProof/>
          <w:kern w:val="0"/>
          <w:sz w:val="32"/>
          <w:szCs w:val="32"/>
          <w:lang w:val="id-ID" w:eastAsia="id-ID" w:bidi="ar-SA"/>
          <w14:ligatures w14:val="none"/>
        </w:rPr>
        <w:t>152</w:t>
      </w:r>
      <w:r w:rsidRPr="00E74E44">
        <w:rPr>
          <w:rFonts w:ascii="TH SarabunPSK" w:eastAsia="Times New Roman" w:hAnsi="TH SarabunPSK" w:cs="TH SarabunPSK"/>
          <w:noProof/>
          <w:kern w:val="0"/>
          <w:sz w:val="32"/>
          <w:szCs w:val="32"/>
          <w:cs/>
          <w:lang w:val="id-ID" w:eastAsia="id-ID"/>
          <w14:ligatures w14:val="none"/>
        </w:rPr>
        <w:t xml:space="preserve">. </w:t>
      </w:r>
      <w:r w:rsidRPr="00E74E44">
        <w:rPr>
          <w:rFonts w:ascii="TH SarabunPSK" w:eastAsia="Calibri" w:hAnsi="TH SarabunPSK" w:cs="TH SarabunPSK"/>
          <w:noProof/>
          <w:kern w:val="0"/>
          <w:sz w:val="32"/>
          <w:szCs w:val="32"/>
          <w:lang w:val="id-ID" w:eastAsia="id-ID" w:bidi="ar-SA"/>
          <w14:ligatures w14:val="none"/>
        </w:rPr>
        <w:t>https</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doi</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org</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1016</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j</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ridd</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2015</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11</w:t>
      </w:r>
      <w:r w:rsidRPr="00E74E44">
        <w:rPr>
          <w:rFonts w:ascii="TH SarabunPSK" w:eastAsia="Calibri" w:hAnsi="TH SarabunPSK" w:cs="TH SarabunPSK"/>
          <w:noProof/>
          <w:kern w:val="0"/>
          <w:sz w:val="32"/>
          <w:szCs w:val="32"/>
          <w:cs/>
          <w:lang w:val="id-ID" w:eastAsia="id-ID"/>
          <w14:ligatures w14:val="none"/>
        </w:rPr>
        <w:t>.</w:t>
      </w:r>
      <w:r w:rsidRPr="00E74E44">
        <w:rPr>
          <w:rFonts w:ascii="TH SarabunPSK" w:eastAsia="Calibri" w:hAnsi="TH SarabunPSK" w:cs="TH SarabunPSK"/>
          <w:noProof/>
          <w:kern w:val="0"/>
          <w:sz w:val="32"/>
          <w:szCs w:val="32"/>
          <w:lang w:val="id-ID" w:eastAsia="id-ID" w:bidi="ar-SA"/>
          <w14:ligatures w14:val="none"/>
        </w:rPr>
        <w:t>022</w:t>
      </w:r>
      <w:r w:rsidRPr="00E74E44">
        <w:rPr>
          <w:rFonts w:ascii="TH SarabunPSK" w:eastAsia="Times New Roman" w:hAnsi="TH SarabunPSK" w:cs="TH SarabunPSK"/>
          <w:noProof/>
          <w:kern w:val="0"/>
          <w:sz w:val="32"/>
          <w:szCs w:val="32"/>
          <w:cs/>
          <w:lang w:val="id-ID" w:eastAsia="id-ID"/>
          <w14:ligatures w14:val="none"/>
        </w:rPr>
        <w:t xml:space="preserve"> </w:t>
      </w:r>
    </w:p>
    <w:p w14:paraId="6EB34053" w14:textId="77777777" w:rsidR="00B46E97" w:rsidRPr="00FD6514" w:rsidRDefault="00B46E97" w:rsidP="00B46E97">
      <w:pPr>
        <w:ind w:left="720" w:hanging="720"/>
        <w:rPr>
          <w:rFonts w:ascii="TH SarabunPSK" w:eastAsia="Times New Roman" w:hAnsi="TH SarabunPSK" w:cs="TH SarabunPSK"/>
          <w:noProof/>
          <w:kern w:val="0"/>
          <w:sz w:val="32"/>
          <w:szCs w:val="32"/>
          <w:lang w:eastAsia="id-ID" w:bidi="ar-SA"/>
          <w14:ligatures w14:val="none"/>
        </w:rPr>
      </w:pPr>
      <w:r w:rsidRPr="00E74E44">
        <w:rPr>
          <w:rFonts w:ascii="TH SarabunPSK" w:eastAsia="Times New Roman" w:hAnsi="TH SarabunPSK" w:cs="TH SarabunPSK"/>
          <w:noProof/>
          <w:kern w:val="0"/>
          <w:sz w:val="32"/>
          <w:szCs w:val="32"/>
          <w:lang w:eastAsia="id-ID" w:bidi="ar-SA"/>
          <w14:ligatures w14:val="none"/>
        </w:rPr>
        <w:t>Yamane, T. (1973). Statistics: An introductory analysis (3rd ed.). Harper &amp; Row.</w:t>
      </w:r>
    </w:p>
    <w:p w14:paraId="3ECCC61F" w14:textId="77777777" w:rsidR="00922146" w:rsidRPr="00922146" w:rsidRDefault="00922146" w:rsidP="00922146">
      <w:pPr>
        <w:spacing w:after="160" w:line="259" w:lineRule="auto"/>
        <w:ind w:firstLine="0"/>
        <w:jc w:val="both"/>
        <w:rPr>
          <w:rFonts w:ascii="Times New Roman" w:eastAsia="Calibri" w:hAnsi="Times New Roman" w:cs="Times New Roman"/>
          <w:noProof/>
          <w:kern w:val="0"/>
          <w:sz w:val="24"/>
          <w:szCs w:val="24"/>
          <w14:ligatures w14:val="none"/>
        </w:rPr>
      </w:pPr>
    </w:p>
    <w:p w14:paraId="50D95BDE" w14:textId="77777777" w:rsidR="00922146" w:rsidRPr="00922146" w:rsidRDefault="00922146" w:rsidP="00922146">
      <w:pPr>
        <w:spacing w:after="160" w:line="259" w:lineRule="auto"/>
        <w:ind w:firstLine="0"/>
        <w:jc w:val="left"/>
        <w:rPr>
          <w:rFonts w:ascii="Times New Roman" w:eastAsia="Calibri" w:hAnsi="Times New Roman" w:cs="Times New Roman"/>
          <w:kern w:val="0"/>
          <w:sz w:val="24"/>
          <w:szCs w:val="24"/>
          <w14:ligatures w14:val="none"/>
        </w:rPr>
      </w:pPr>
    </w:p>
    <w:p w14:paraId="0361C02E" w14:textId="275D103E" w:rsidR="00F55B1A" w:rsidRPr="00D4512E" w:rsidRDefault="00F55B1A" w:rsidP="0062037C">
      <w:pPr>
        <w:ind w:left="821" w:hanging="821"/>
        <w:jc w:val="both"/>
        <w:rPr>
          <w:rFonts w:ascii="TH SarabunPSK" w:eastAsia="SimSun" w:hAnsi="TH SarabunPSK" w:cs="TH SarabunPSK"/>
          <w:kern w:val="0"/>
          <w:sz w:val="32"/>
          <w:szCs w:val="32"/>
          <w:lang w:eastAsia="zh-CN"/>
          <w14:ligatures w14:val="none"/>
        </w:rPr>
      </w:pPr>
    </w:p>
    <w:sectPr w:rsidR="00F55B1A" w:rsidRPr="00D4512E" w:rsidSect="009B7DC1">
      <w:headerReference w:type="even" r:id="rId7"/>
      <w:headerReference w:type="default" r:id="rId8"/>
      <w:footerReference w:type="even" r:id="rId9"/>
      <w:footerReference w:type="default" r:id="rId10"/>
      <w:headerReference w:type="first" r:id="rId11"/>
      <w:footerReference w:type="first" r:id="rId12"/>
      <w:pgSz w:w="11906" w:h="16838"/>
      <w:pgMar w:top="2610" w:right="1416" w:bottom="1440" w:left="1276" w:header="708" w:footer="560" w:gutter="0"/>
      <w:pgNumType w:start="4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69CDB" w14:textId="77777777" w:rsidR="00B3621D" w:rsidRDefault="00B3621D" w:rsidP="00773DBA">
      <w:r>
        <w:separator/>
      </w:r>
    </w:p>
  </w:endnote>
  <w:endnote w:type="continuationSeparator" w:id="0">
    <w:p w14:paraId="72280266" w14:textId="77777777" w:rsidR="00B3621D" w:rsidRDefault="00B3621D" w:rsidP="0077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00"/>
    <w:family w:val="swiss"/>
    <w:pitch w:val="variable"/>
    <w:sig w:usb0="A100006F" w:usb1="5000205A" w:usb2="00000000" w:usb3="00000000" w:csb0="00010183"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ooper Black">
    <w:panose1 w:val="0208090404030B0204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777A6" w14:textId="77777777" w:rsidR="00EF24C6" w:rsidRDefault="00EF24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F008" w14:textId="56633E08" w:rsidR="00773DBA" w:rsidRPr="00773DBA" w:rsidRDefault="0098539F">
    <w:pPr>
      <w:pStyle w:val="Footer"/>
      <w:jc w:val="right"/>
      <w:rPr>
        <w:b/>
        <w:bCs/>
        <w:color w:val="EE0000"/>
      </w:rPr>
    </w:pPr>
    <w:r>
      <w:rPr>
        <w:rFonts w:ascii="Times New Roman" w:hAnsi="Times New Roman" w:cs="Times New Roman"/>
        <w:noProof/>
        <w:kern w:val="0"/>
        <w:sz w:val="24"/>
        <w:szCs w:val="24"/>
        <w14:ligatures w14:val="none"/>
      </w:rPr>
      <mc:AlternateContent>
        <mc:Choice Requires="wps">
          <w:drawing>
            <wp:anchor distT="0" distB="0" distL="114300" distR="114300" simplePos="0" relativeHeight="251667456" behindDoc="0" locked="0" layoutInCell="1" allowOverlap="1" wp14:anchorId="583D6909" wp14:editId="396409CF">
              <wp:simplePos x="0" y="0"/>
              <wp:positionH relativeFrom="column">
                <wp:posOffset>1930400</wp:posOffset>
              </wp:positionH>
              <wp:positionV relativeFrom="paragraph">
                <wp:posOffset>-292100</wp:posOffset>
              </wp:positionV>
              <wp:extent cx="3352800" cy="504825"/>
              <wp:effectExtent l="0" t="0" r="0" b="0"/>
              <wp:wrapNone/>
              <wp:docPr id="2" name="Text Box 2"/>
              <wp:cNvGraphicFramePr/>
              <a:graphic xmlns:a="http://schemas.openxmlformats.org/drawingml/2006/main">
                <a:graphicData uri="http://schemas.microsoft.com/office/word/2010/wordprocessingShape">
                  <wps:wsp>
                    <wps:cNvSpPr txBox="1"/>
                    <wps:spPr>
                      <a:xfrm>
                        <a:off x="0" y="0"/>
                        <a:ext cx="3352800" cy="504825"/>
                      </a:xfrm>
                      <a:prstGeom prst="rect">
                        <a:avLst/>
                      </a:prstGeom>
                      <a:noFill/>
                      <a:ln w="6350">
                        <a:noFill/>
                      </a:ln>
                    </wps:spPr>
                    <wps:txbx>
                      <w:txbxContent>
                        <w:p w14:paraId="60ADCE7A" w14:textId="77777777" w:rsidR="00EF24C6" w:rsidRPr="006924F7" w:rsidRDefault="00EF24C6" w:rsidP="00EF24C6">
                          <w:pPr>
                            <w:keepNext/>
                            <w:keepLines/>
                            <w:shd w:val="clear" w:color="auto" w:fill="FFFFFF"/>
                            <w:spacing w:before="320" w:after="40"/>
                            <w:ind w:firstLine="0"/>
                            <w:outlineLvl w:val="0"/>
                            <w:rPr>
                              <w:rFonts w:ascii="Cooper Black" w:eastAsiaTheme="majorEastAsia" w:hAnsi="Cooper Black" w:cs="Segoe UI"/>
                              <w:color w:val="2E74B5" w:themeColor="accent1" w:themeShade="BF"/>
                              <w:sz w:val="26"/>
                              <w:szCs w:val="26"/>
                            </w:rPr>
                          </w:pPr>
                          <w:r w:rsidRPr="006924F7">
                            <w:rPr>
                              <w:rFonts w:ascii="Cooper Black" w:eastAsiaTheme="majorEastAsia" w:hAnsi="Cooper Black" w:cs="Angsana New"/>
                              <w:color w:val="2E74B5" w:themeColor="accent1" w:themeShade="BF"/>
                              <w:sz w:val="26"/>
                              <w:szCs w:val="26"/>
                            </w:rPr>
                            <w:t>Year</w:t>
                          </w:r>
                          <w:r w:rsidRPr="006924F7">
                            <w:rPr>
                              <w:rFonts w:ascii="Cooper Black" w:eastAsiaTheme="majorEastAsia" w:hAnsi="Cooper Black" w:cs="Angsana New"/>
                              <w:color w:val="2E74B5" w:themeColor="accent1" w:themeShade="BF"/>
                              <w:sz w:val="26"/>
                              <w:szCs w:val="26"/>
                              <w:cs/>
                            </w:rPr>
                            <w:t xml:space="preserve"> </w:t>
                          </w:r>
                          <w:r w:rsidRPr="006924F7">
                            <w:rPr>
                              <w:rFonts w:ascii="Cooper Black" w:eastAsiaTheme="majorEastAsia" w:hAnsi="Cooper Black" w:cs="Segoe UI"/>
                              <w:color w:val="2E74B5" w:themeColor="accent1" w:themeShade="BF"/>
                              <w:sz w:val="26"/>
                              <w:szCs w:val="26"/>
                            </w:rPr>
                            <w:t xml:space="preserve">9 </w:t>
                          </w:r>
                          <w:r w:rsidRPr="006924F7">
                            <w:rPr>
                              <w:rFonts w:ascii="Cooper Black" w:eastAsiaTheme="majorEastAsia" w:hAnsi="Cooper Black" w:cs="Angsana New"/>
                              <w:color w:val="2E74B5" w:themeColor="accent1" w:themeShade="BF"/>
                              <w:sz w:val="26"/>
                              <w:szCs w:val="26"/>
                            </w:rPr>
                            <w:t>Issue</w:t>
                          </w:r>
                          <w:r w:rsidRPr="006924F7">
                            <w:rPr>
                              <w:rFonts w:ascii="Cooper Black" w:eastAsiaTheme="majorEastAsia" w:hAnsi="Cooper Black" w:cs="Angsana New"/>
                              <w:color w:val="2E74B5" w:themeColor="accent1" w:themeShade="BF"/>
                              <w:sz w:val="26"/>
                              <w:szCs w:val="26"/>
                              <w:cs/>
                            </w:rPr>
                            <w:t xml:space="preserve"> </w:t>
                          </w:r>
                          <w:r w:rsidRPr="006924F7">
                            <w:rPr>
                              <w:rFonts w:ascii="Cooper Black" w:eastAsiaTheme="majorEastAsia" w:hAnsi="Cooper Black" w:cs="Segoe UI"/>
                              <w:color w:val="2E74B5" w:themeColor="accent1" w:themeShade="BF"/>
                              <w:sz w:val="26"/>
                              <w:szCs w:val="26"/>
                            </w:rPr>
                            <w:t>2 (2026): May-August:</w:t>
                          </w:r>
                        </w:p>
                        <w:p w14:paraId="41A844E9" w14:textId="77777777" w:rsidR="0098539F" w:rsidRDefault="0098539F" w:rsidP="009853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3D6909" id="_x0000_t202" coordsize="21600,21600" o:spt="202" path="m,l,21600r21600,l21600,xe">
              <v:stroke joinstyle="miter"/>
              <v:path gradientshapeok="t" o:connecttype="rect"/>
            </v:shapetype>
            <v:shape id="Text Box 2" o:spid="_x0000_s1026" type="#_x0000_t202" style="position:absolute;left:0;text-align:left;margin-left:152pt;margin-top:-23pt;width:264pt;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" filled="f" stroked="f" strokeweight=".5pt">
              <v:textbox>
                <w:txbxContent>
                  <w:p w14:paraId="60ADCE7A" w14:textId="77777777" w:rsidR="00EF24C6" w:rsidRPr="006924F7" w:rsidRDefault="00EF24C6" w:rsidP="00EF24C6">
                    <w:pPr>
                      <w:keepNext/>
                      <w:keepLines/>
                      <w:shd w:val="clear" w:color="auto" w:fill="FFFFFF"/>
                      <w:spacing w:before="320" w:after="40"/>
                      <w:ind w:firstLine="0"/>
                      <w:outlineLvl w:val="0"/>
                      <w:rPr>
                        <w:rFonts w:ascii="Cooper Black" w:eastAsiaTheme="majorEastAsia" w:hAnsi="Cooper Black" w:cs="Segoe UI"/>
                        <w:color w:val="2E74B5" w:themeColor="accent1" w:themeShade="BF"/>
                        <w:sz w:val="26"/>
                        <w:szCs w:val="26"/>
                      </w:rPr>
                    </w:pPr>
                    <w:r w:rsidRPr="006924F7">
                      <w:rPr>
                        <w:rFonts w:ascii="Cooper Black" w:eastAsiaTheme="majorEastAsia" w:hAnsi="Cooper Black" w:cs="Angsana New"/>
                        <w:color w:val="2E74B5" w:themeColor="accent1" w:themeShade="BF"/>
                        <w:sz w:val="26"/>
                        <w:szCs w:val="26"/>
                      </w:rPr>
                      <w:t>Year</w:t>
                    </w:r>
                    <w:r w:rsidRPr="006924F7">
                      <w:rPr>
                        <w:rFonts w:ascii="Cooper Black" w:eastAsiaTheme="majorEastAsia" w:hAnsi="Cooper Black" w:cs="Angsana New"/>
                        <w:color w:val="2E74B5" w:themeColor="accent1" w:themeShade="BF"/>
                        <w:sz w:val="26"/>
                        <w:szCs w:val="26"/>
                        <w:cs/>
                      </w:rPr>
                      <w:t xml:space="preserve"> </w:t>
                    </w:r>
                    <w:r w:rsidRPr="006924F7">
                      <w:rPr>
                        <w:rFonts w:ascii="Cooper Black" w:eastAsiaTheme="majorEastAsia" w:hAnsi="Cooper Black" w:cs="Segoe UI"/>
                        <w:color w:val="2E74B5" w:themeColor="accent1" w:themeShade="BF"/>
                        <w:sz w:val="26"/>
                        <w:szCs w:val="26"/>
                      </w:rPr>
                      <w:t xml:space="preserve">9 </w:t>
                    </w:r>
                    <w:r w:rsidRPr="006924F7">
                      <w:rPr>
                        <w:rFonts w:ascii="Cooper Black" w:eastAsiaTheme="majorEastAsia" w:hAnsi="Cooper Black" w:cs="Angsana New"/>
                        <w:color w:val="2E74B5" w:themeColor="accent1" w:themeShade="BF"/>
                        <w:sz w:val="26"/>
                        <w:szCs w:val="26"/>
                      </w:rPr>
                      <w:t>Issue</w:t>
                    </w:r>
                    <w:r w:rsidRPr="006924F7">
                      <w:rPr>
                        <w:rFonts w:ascii="Cooper Black" w:eastAsiaTheme="majorEastAsia" w:hAnsi="Cooper Black" w:cs="Angsana New"/>
                        <w:color w:val="2E74B5" w:themeColor="accent1" w:themeShade="BF"/>
                        <w:sz w:val="26"/>
                        <w:szCs w:val="26"/>
                        <w:cs/>
                      </w:rPr>
                      <w:t xml:space="preserve"> </w:t>
                    </w:r>
                    <w:r w:rsidRPr="006924F7">
                      <w:rPr>
                        <w:rFonts w:ascii="Cooper Black" w:eastAsiaTheme="majorEastAsia" w:hAnsi="Cooper Black" w:cs="Segoe UI"/>
                        <w:color w:val="2E74B5" w:themeColor="accent1" w:themeShade="BF"/>
                        <w:sz w:val="26"/>
                        <w:szCs w:val="26"/>
                      </w:rPr>
                      <w:t>2 (2026): May-August:</w:t>
                    </w:r>
                  </w:p>
                  <w:p w14:paraId="41A844E9" w14:textId="77777777" w:rsidR="0098539F" w:rsidRDefault="0098539F" w:rsidP="0098539F"/>
                </w:txbxContent>
              </v:textbox>
            </v:shape>
          </w:pict>
        </mc:Fallback>
      </mc:AlternateContent>
    </w:r>
    <w:r w:rsidR="00F12686" w:rsidRPr="00F12686">
      <w:rPr>
        <w:rFonts w:cs="Cordia New"/>
        <w:noProof/>
        <w:cs/>
      </w:rPr>
      <w:drawing>
        <wp:anchor distT="0" distB="0" distL="114300" distR="114300" simplePos="0" relativeHeight="251663360" behindDoc="0" locked="0" layoutInCell="1" allowOverlap="1" wp14:anchorId="420B0D46" wp14:editId="2AAC645A">
          <wp:simplePos x="0" y="0"/>
          <wp:positionH relativeFrom="column">
            <wp:posOffset>36195</wp:posOffset>
          </wp:positionH>
          <wp:positionV relativeFrom="paragraph">
            <wp:posOffset>-173892</wp:posOffset>
          </wp:positionV>
          <wp:extent cx="574675" cy="600710"/>
          <wp:effectExtent l="0" t="0" r="0" b="8890"/>
          <wp:wrapNone/>
          <wp:docPr id="564655239" name="รูปภาพ 56465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74675" cy="600710"/>
                  </a:xfrm>
                  <a:prstGeom prst="rect">
                    <a:avLst/>
                  </a:prstGeom>
                </pic:spPr>
              </pic:pic>
            </a:graphicData>
          </a:graphic>
          <wp14:sizeRelH relativeFrom="margin">
            <wp14:pctWidth>0</wp14:pctWidth>
          </wp14:sizeRelH>
          <wp14:sizeRelV relativeFrom="margin">
            <wp14:pctHeight>0</wp14:pctHeight>
          </wp14:sizeRelV>
        </wp:anchor>
      </w:drawing>
    </w:r>
    <w:r w:rsidR="00F12686">
      <w:rPr>
        <w:noProof/>
      </w:rPr>
      <mc:AlternateContent>
        <mc:Choice Requires="wps">
          <w:drawing>
            <wp:anchor distT="0" distB="0" distL="114300" distR="114300" simplePos="0" relativeHeight="251665408" behindDoc="0" locked="0" layoutInCell="1" allowOverlap="1" wp14:anchorId="0F8AA381" wp14:editId="0B990786">
              <wp:simplePos x="0" y="0"/>
              <wp:positionH relativeFrom="column">
                <wp:posOffset>0</wp:posOffset>
              </wp:positionH>
              <wp:positionV relativeFrom="paragraph">
                <wp:posOffset>-206277</wp:posOffset>
              </wp:positionV>
              <wp:extent cx="5850890" cy="0"/>
              <wp:effectExtent l="0" t="38100" r="54610" b="38100"/>
              <wp:wrapNone/>
              <wp:docPr id="60" name="ตัวเชื่อมต่อตรง 60"/>
              <wp:cNvGraphicFramePr/>
              <a:graphic xmlns:a="http://schemas.openxmlformats.org/drawingml/2006/main">
                <a:graphicData uri="http://schemas.microsoft.com/office/word/2010/wordprocessingShape">
                  <wps:wsp>
                    <wps:cNvCnPr/>
                    <wps:spPr>
                      <a:xfrm>
                        <a:off x="0" y="0"/>
                        <a:ext cx="5850890" cy="0"/>
                      </a:xfrm>
                      <a:prstGeom prst="line">
                        <a:avLst/>
                      </a:prstGeom>
                      <a:ln w="76200" cmpd="thinThick"/>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anchor>
          </w:drawing>
        </mc:Choice>
        <mc:Fallback>
          <w:pict>
            <v:line w14:anchorId="03610F77" id="ตัวเชื่อมต่อตรง 60"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6.25pt" to="460.7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" strokecolor="#70ad47 [3209]" strokeweight="6pt">
              <v:stroke linestyle="thinThick" joinstyle="miter"/>
            </v:line>
          </w:pict>
        </mc:Fallback>
      </mc:AlternateContent>
    </w:r>
    <w:sdt>
      <w:sdtPr>
        <w:rPr>
          <w:b/>
          <w:bCs/>
          <w:color w:val="EE0000"/>
        </w:rPr>
        <w:id w:val="609636770"/>
        <w:docPartObj>
          <w:docPartGallery w:val="Page Numbers (Bottom of Page)"/>
          <w:docPartUnique/>
        </w:docPartObj>
      </w:sdtPr>
      <w:sdtContent>
        <w:r w:rsidR="00773DBA" w:rsidRPr="00773DBA">
          <w:rPr>
            <w:rFonts w:ascii="Times New Roman" w:hAnsi="Times New Roman" w:cs="Times New Roman"/>
            <w:b/>
            <w:bCs/>
            <w:color w:val="EE0000"/>
          </w:rPr>
          <w:t xml:space="preserve">PAGE </w:t>
        </w:r>
        <w:r w:rsidR="00773DBA" w:rsidRPr="00773DBA">
          <w:rPr>
            <w:b/>
            <w:bCs/>
            <w:color w:val="EE0000"/>
          </w:rPr>
          <w:t xml:space="preserve"> </w:t>
        </w:r>
        <w:r w:rsidR="00773DBA" w:rsidRPr="00F12686">
          <w:rPr>
            <w:rFonts w:ascii="Times New Roman" w:hAnsi="Times New Roman" w:cs="Times New Roman"/>
            <w:b/>
            <w:bCs/>
            <w:color w:val="EE0000"/>
          </w:rPr>
          <w:fldChar w:fldCharType="begin"/>
        </w:r>
        <w:r w:rsidR="00773DBA" w:rsidRPr="00F12686">
          <w:rPr>
            <w:rFonts w:ascii="Times New Roman" w:hAnsi="Times New Roman" w:cs="Times New Roman"/>
            <w:b/>
            <w:bCs/>
            <w:color w:val="EE0000"/>
          </w:rPr>
          <w:instrText xml:space="preserve"> PAGE   \* MERGEFORMAT </w:instrText>
        </w:r>
        <w:r w:rsidR="00773DBA" w:rsidRPr="00F12686">
          <w:rPr>
            <w:rFonts w:ascii="Times New Roman" w:hAnsi="Times New Roman" w:cs="Times New Roman"/>
            <w:b/>
            <w:bCs/>
            <w:color w:val="EE0000"/>
          </w:rPr>
          <w:fldChar w:fldCharType="separate"/>
        </w:r>
        <w:r w:rsidR="00A25432">
          <w:rPr>
            <w:rFonts w:ascii="Times New Roman" w:hAnsi="Times New Roman" w:cs="Times New Roman"/>
            <w:b/>
            <w:bCs/>
            <w:noProof/>
            <w:color w:val="EE0000"/>
          </w:rPr>
          <w:t>170</w:t>
        </w:r>
        <w:r w:rsidR="00773DBA" w:rsidRPr="00F12686">
          <w:rPr>
            <w:rFonts w:ascii="Times New Roman" w:hAnsi="Times New Roman" w:cs="Times New Roman"/>
            <w:b/>
            <w:bCs/>
            <w:noProof/>
            <w:color w:val="EE0000"/>
          </w:rPr>
          <w:fldChar w:fldCharType="end"/>
        </w:r>
      </w:sdtContent>
    </w:sdt>
  </w:p>
  <w:p w14:paraId="49F0AC83" w14:textId="708B6C7F" w:rsidR="00773DBA" w:rsidRDefault="00773D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03D56" w14:textId="77777777" w:rsidR="00EF24C6" w:rsidRDefault="00EF2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89307" w14:textId="77777777" w:rsidR="00B3621D" w:rsidRDefault="00B3621D" w:rsidP="00773DBA">
      <w:r>
        <w:separator/>
      </w:r>
    </w:p>
  </w:footnote>
  <w:footnote w:type="continuationSeparator" w:id="0">
    <w:p w14:paraId="40DD70F6" w14:textId="77777777" w:rsidR="00B3621D" w:rsidRDefault="00B3621D" w:rsidP="00773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0901" w14:textId="77777777" w:rsidR="00EF24C6" w:rsidRDefault="00EF24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122C4" w14:textId="5C39BA01" w:rsidR="00773DBA" w:rsidRDefault="00F12686" w:rsidP="00F12686">
    <w:pPr>
      <w:pStyle w:val="Header"/>
      <w:ind w:firstLine="0"/>
    </w:pPr>
    <w:r>
      <w:rPr>
        <w:noProof/>
      </w:rPr>
      <mc:AlternateContent>
        <mc:Choice Requires="wps">
          <w:drawing>
            <wp:anchor distT="0" distB="0" distL="114300" distR="114300" simplePos="0" relativeHeight="251662336" behindDoc="0" locked="0" layoutInCell="1" allowOverlap="1" wp14:anchorId="2A4D0094" wp14:editId="05F2A24A">
              <wp:simplePos x="0" y="0"/>
              <wp:positionH relativeFrom="column">
                <wp:posOffset>446</wp:posOffset>
              </wp:positionH>
              <wp:positionV relativeFrom="paragraph">
                <wp:posOffset>1077562</wp:posOffset>
              </wp:positionV>
              <wp:extent cx="5850890" cy="0"/>
              <wp:effectExtent l="0" t="38100" r="54610" b="38100"/>
              <wp:wrapNone/>
              <wp:docPr id="12" name="ตัวเชื่อมต่อตรง 12"/>
              <wp:cNvGraphicFramePr/>
              <a:graphic xmlns:a="http://schemas.openxmlformats.org/drawingml/2006/main">
                <a:graphicData uri="http://schemas.microsoft.com/office/word/2010/wordprocessingShape">
                  <wps:wsp>
                    <wps:cNvCnPr/>
                    <wps:spPr>
                      <a:xfrm>
                        <a:off x="0" y="0"/>
                        <a:ext cx="5850890" cy="0"/>
                      </a:xfrm>
                      <a:prstGeom prst="line">
                        <a:avLst/>
                      </a:prstGeom>
                      <a:ln w="76200" cmpd="thinThick"/>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anchor>
          </w:drawing>
        </mc:Choice>
        <mc:Fallback>
          <w:pict>
            <v:line w14:anchorId="4EED108F" id="ตัวเชื่อมต่อตรง 1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84.85pt" to="460.75pt,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" strokecolor="#70ad47 [3209]" strokeweight="6pt">
              <v:stroke linestyle="thinThick" joinstyle="miter"/>
            </v:line>
          </w:pict>
        </mc:Fallback>
      </mc:AlternateContent>
    </w:r>
    <w:r w:rsidRPr="00AA4DC8">
      <w:rPr>
        <w:noProof/>
      </w:rPr>
      <w:drawing>
        <wp:inline distT="0" distB="0" distL="0" distR="0" wp14:anchorId="08B0A301" wp14:editId="4708AEFC">
          <wp:extent cx="5850890" cy="998826"/>
          <wp:effectExtent l="0" t="0" r="0" b="0"/>
          <wp:docPr id="564655238" name="รูปภาพ 564655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850890" cy="99882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6C5E0" w14:textId="77777777" w:rsidR="00EF24C6" w:rsidRDefault="00EF24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624DE"/>
    <w:multiLevelType w:val="multilevel"/>
    <w:tmpl w:val="240624D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16cid:durableId="465701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DBA"/>
    <w:rsid w:val="00000997"/>
    <w:rsid w:val="000026D5"/>
    <w:rsid w:val="0001723E"/>
    <w:rsid w:val="00041CBD"/>
    <w:rsid w:val="000615BB"/>
    <w:rsid w:val="00061D00"/>
    <w:rsid w:val="000644B6"/>
    <w:rsid w:val="00075E68"/>
    <w:rsid w:val="000765DC"/>
    <w:rsid w:val="00077F64"/>
    <w:rsid w:val="00087DD4"/>
    <w:rsid w:val="000A0A8E"/>
    <w:rsid w:val="000A1CF1"/>
    <w:rsid w:val="000A3F57"/>
    <w:rsid w:val="000A467A"/>
    <w:rsid w:val="000B41C2"/>
    <w:rsid w:val="00104359"/>
    <w:rsid w:val="0011734D"/>
    <w:rsid w:val="00124CF1"/>
    <w:rsid w:val="00131797"/>
    <w:rsid w:val="001354D6"/>
    <w:rsid w:val="001419CA"/>
    <w:rsid w:val="00144FDA"/>
    <w:rsid w:val="00161D3A"/>
    <w:rsid w:val="00175A1E"/>
    <w:rsid w:val="00181A7A"/>
    <w:rsid w:val="00183FB6"/>
    <w:rsid w:val="00191EA8"/>
    <w:rsid w:val="001A2B5B"/>
    <w:rsid w:val="001A5EFC"/>
    <w:rsid w:val="001B2EDE"/>
    <w:rsid w:val="001B47E5"/>
    <w:rsid w:val="001B4EF5"/>
    <w:rsid w:val="001B7920"/>
    <w:rsid w:val="001D0839"/>
    <w:rsid w:val="001D4D41"/>
    <w:rsid w:val="001E18FF"/>
    <w:rsid w:val="001E7B36"/>
    <w:rsid w:val="00216485"/>
    <w:rsid w:val="002224EA"/>
    <w:rsid w:val="0024735B"/>
    <w:rsid w:val="00264D11"/>
    <w:rsid w:val="00284A27"/>
    <w:rsid w:val="002A0D61"/>
    <w:rsid w:val="002A19A0"/>
    <w:rsid w:val="002A235D"/>
    <w:rsid w:val="002D37CC"/>
    <w:rsid w:val="003000F7"/>
    <w:rsid w:val="00300FCD"/>
    <w:rsid w:val="0031646A"/>
    <w:rsid w:val="0031670B"/>
    <w:rsid w:val="0031688C"/>
    <w:rsid w:val="00320CE3"/>
    <w:rsid w:val="003225B3"/>
    <w:rsid w:val="003302E4"/>
    <w:rsid w:val="00337273"/>
    <w:rsid w:val="003409CA"/>
    <w:rsid w:val="0035214B"/>
    <w:rsid w:val="00360F54"/>
    <w:rsid w:val="00383572"/>
    <w:rsid w:val="00392A0B"/>
    <w:rsid w:val="003A241F"/>
    <w:rsid w:val="003A3EDD"/>
    <w:rsid w:val="003C17EC"/>
    <w:rsid w:val="003D0827"/>
    <w:rsid w:val="003D6AB7"/>
    <w:rsid w:val="003E4DD6"/>
    <w:rsid w:val="003E6BD1"/>
    <w:rsid w:val="003F42E9"/>
    <w:rsid w:val="003F6EA2"/>
    <w:rsid w:val="00405389"/>
    <w:rsid w:val="00407EF5"/>
    <w:rsid w:val="00425752"/>
    <w:rsid w:val="00425968"/>
    <w:rsid w:val="00445272"/>
    <w:rsid w:val="00445F6D"/>
    <w:rsid w:val="004469F7"/>
    <w:rsid w:val="00462667"/>
    <w:rsid w:val="0046332A"/>
    <w:rsid w:val="0046532F"/>
    <w:rsid w:val="00472EF7"/>
    <w:rsid w:val="0047693E"/>
    <w:rsid w:val="004B05A0"/>
    <w:rsid w:val="004B1700"/>
    <w:rsid w:val="004B469D"/>
    <w:rsid w:val="004B5E66"/>
    <w:rsid w:val="004D01EE"/>
    <w:rsid w:val="004E2FD7"/>
    <w:rsid w:val="004F6702"/>
    <w:rsid w:val="00501297"/>
    <w:rsid w:val="00507E54"/>
    <w:rsid w:val="00511C8D"/>
    <w:rsid w:val="00537448"/>
    <w:rsid w:val="00540994"/>
    <w:rsid w:val="00543D11"/>
    <w:rsid w:val="00546442"/>
    <w:rsid w:val="00546BC2"/>
    <w:rsid w:val="005539B7"/>
    <w:rsid w:val="00576F67"/>
    <w:rsid w:val="0059400F"/>
    <w:rsid w:val="005B0D65"/>
    <w:rsid w:val="005E4C61"/>
    <w:rsid w:val="005E6F9D"/>
    <w:rsid w:val="005F21E3"/>
    <w:rsid w:val="006026B3"/>
    <w:rsid w:val="00604C01"/>
    <w:rsid w:val="00605410"/>
    <w:rsid w:val="006120CD"/>
    <w:rsid w:val="0062037C"/>
    <w:rsid w:val="00627AB0"/>
    <w:rsid w:val="006354C4"/>
    <w:rsid w:val="00644126"/>
    <w:rsid w:val="0065210D"/>
    <w:rsid w:val="00653519"/>
    <w:rsid w:val="006574D8"/>
    <w:rsid w:val="00662A6F"/>
    <w:rsid w:val="00685F4E"/>
    <w:rsid w:val="0068737F"/>
    <w:rsid w:val="00692B56"/>
    <w:rsid w:val="006A2A49"/>
    <w:rsid w:val="006A734F"/>
    <w:rsid w:val="006B012E"/>
    <w:rsid w:val="006C4EB8"/>
    <w:rsid w:val="006C579D"/>
    <w:rsid w:val="006E54DB"/>
    <w:rsid w:val="00702482"/>
    <w:rsid w:val="007073D3"/>
    <w:rsid w:val="007172D6"/>
    <w:rsid w:val="00721E13"/>
    <w:rsid w:val="00725930"/>
    <w:rsid w:val="00742383"/>
    <w:rsid w:val="0074566E"/>
    <w:rsid w:val="00756117"/>
    <w:rsid w:val="007622F2"/>
    <w:rsid w:val="00773DBA"/>
    <w:rsid w:val="00781FF9"/>
    <w:rsid w:val="00785422"/>
    <w:rsid w:val="00794250"/>
    <w:rsid w:val="007B407E"/>
    <w:rsid w:val="007C339B"/>
    <w:rsid w:val="007D3EAE"/>
    <w:rsid w:val="007D51F2"/>
    <w:rsid w:val="007D7845"/>
    <w:rsid w:val="007E44A8"/>
    <w:rsid w:val="007E5EB2"/>
    <w:rsid w:val="007E6436"/>
    <w:rsid w:val="007E68CC"/>
    <w:rsid w:val="007F1D31"/>
    <w:rsid w:val="007F77A0"/>
    <w:rsid w:val="00817B04"/>
    <w:rsid w:val="00831359"/>
    <w:rsid w:val="00843A59"/>
    <w:rsid w:val="008657FF"/>
    <w:rsid w:val="00886DBF"/>
    <w:rsid w:val="00887BFF"/>
    <w:rsid w:val="00890164"/>
    <w:rsid w:val="00897377"/>
    <w:rsid w:val="008C0B86"/>
    <w:rsid w:val="008C4B22"/>
    <w:rsid w:val="008C6898"/>
    <w:rsid w:val="008D64EF"/>
    <w:rsid w:val="008E135D"/>
    <w:rsid w:val="008E76A8"/>
    <w:rsid w:val="008F2F23"/>
    <w:rsid w:val="008F4417"/>
    <w:rsid w:val="008F5428"/>
    <w:rsid w:val="009102F3"/>
    <w:rsid w:val="0091102D"/>
    <w:rsid w:val="009156D0"/>
    <w:rsid w:val="00922146"/>
    <w:rsid w:val="00923F37"/>
    <w:rsid w:val="0093190A"/>
    <w:rsid w:val="0093640E"/>
    <w:rsid w:val="00964CB7"/>
    <w:rsid w:val="009775EE"/>
    <w:rsid w:val="0098539F"/>
    <w:rsid w:val="00997946"/>
    <w:rsid w:val="009B3F90"/>
    <w:rsid w:val="009B7DC1"/>
    <w:rsid w:val="009D313B"/>
    <w:rsid w:val="009D7869"/>
    <w:rsid w:val="009E652F"/>
    <w:rsid w:val="009F7F99"/>
    <w:rsid w:val="00A2301B"/>
    <w:rsid w:val="00A25432"/>
    <w:rsid w:val="00A46FCC"/>
    <w:rsid w:val="00A67E7E"/>
    <w:rsid w:val="00A701B9"/>
    <w:rsid w:val="00A946CE"/>
    <w:rsid w:val="00A95897"/>
    <w:rsid w:val="00A97CBC"/>
    <w:rsid w:val="00AA08D6"/>
    <w:rsid w:val="00AA1905"/>
    <w:rsid w:val="00AA39F3"/>
    <w:rsid w:val="00AD6065"/>
    <w:rsid w:val="00B3621D"/>
    <w:rsid w:val="00B46D98"/>
    <w:rsid w:val="00B46DD7"/>
    <w:rsid w:val="00B46E97"/>
    <w:rsid w:val="00B50021"/>
    <w:rsid w:val="00B53308"/>
    <w:rsid w:val="00B5537C"/>
    <w:rsid w:val="00B55607"/>
    <w:rsid w:val="00B564B2"/>
    <w:rsid w:val="00B70063"/>
    <w:rsid w:val="00B77781"/>
    <w:rsid w:val="00B97892"/>
    <w:rsid w:val="00BE1FA1"/>
    <w:rsid w:val="00C0669F"/>
    <w:rsid w:val="00C12AC3"/>
    <w:rsid w:val="00C1495E"/>
    <w:rsid w:val="00C32A20"/>
    <w:rsid w:val="00C528B4"/>
    <w:rsid w:val="00C62BED"/>
    <w:rsid w:val="00C63896"/>
    <w:rsid w:val="00C769D4"/>
    <w:rsid w:val="00C94A63"/>
    <w:rsid w:val="00CA4F94"/>
    <w:rsid w:val="00CA67A5"/>
    <w:rsid w:val="00CB0D6C"/>
    <w:rsid w:val="00CB6632"/>
    <w:rsid w:val="00CC0E97"/>
    <w:rsid w:val="00CF76B6"/>
    <w:rsid w:val="00D0333D"/>
    <w:rsid w:val="00D16C46"/>
    <w:rsid w:val="00D44A48"/>
    <w:rsid w:val="00D4512E"/>
    <w:rsid w:val="00D50244"/>
    <w:rsid w:val="00D52A6E"/>
    <w:rsid w:val="00D61855"/>
    <w:rsid w:val="00D62145"/>
    <w:rsid w:val="00D664C1"/>
    <w:rsid w:val="00D6732F"/>
    <w:rsid w:val="00D77A96"/>
    <w:rsid w:val="00D84834"/>
    <w:rsid w:val="00DB6B81"/>
    <w:rsid w:val="00DC212B"/>
    <w:rsid w:val="00DC7210"/>
    <w:rsid w:val="00DE262B"/>
    <w:rsid w:val="00DF2F71"/>
    <w:rsid w:val="00E01C57"/>
    <w:rsid w:val="00E2159F"/>
    <w:rsid w:val="00E2180D"/>
    <w:rsid w:val="00E35734"/>
    <w:rsid w:val="00E369D3"/>
    <w:rsid w:val="00E46143"/>
    <w:rsid w:val="00E74E44"/>
    <w:rsid w:val="00E764E7"/>
    <w:rsid w:val="00E8505C"/>
    <w:rsid w:val="00E8540C"/>
    <w:rsid w:val="00E911BF"/>
    <w:rsid w:val="00E917BC"/>
    <w:rsid w:val="00E94364"/>
    <w:rsid w:val="00EA2E41"/>
    <w:rsid w:val="00EC7F53"/>
    <w:rsid w:val="00ED08A5"/>
    <w:rsid w:val="00EE08E8"/>
    <w:rsid w:val="00EF24C6"/>
    <w:rsid w:val="00F052B7"/>
    <w:rsid w:val="00F12686"/>
    <w:rsid w:val="00F15A28"/>
    <w:rsid w:val="00F24D2F"/>
    <w:rsid w:val="00F33242"/>
    <w:rsid w:val="00F37B75"/>
    <w:rsid w:val="00F47058"/>
    <w:rsid w:val="00F555B2"/>
    <w:rsid w:val="00F55B1A"/>
    <w:rsid w:val="00F75F97"/>
    <w:rsid w:val="00F941E9"/>
    <w:rsid w:val="00FB061F"/>
    <w:rsid w:val="00FB3C6E"/>
    <w:rsid w:val="00FF113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61872"/>
  <w15:chartTrackingRefBased/>
  <w15:docId w15:val="{FEBF0707-2CB8-44BD-8427-3D00D82D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273"/>
    <w:pPr>
      <w:spacing w:after="0" w:line="240" w:lineRule="auto"/>
      <w:ind w:firstLine="567"/>
      <w:jc w:val="thaiDistribute"/>
    </w:pPr>
  </w:style>
  <w:style w:type="paragraph" w:styleId="Heading1">
    <w:name w:val="heading 1"/>
    <w:basedOn w:val="Normal"/>
    <w:next w:val="Normal"/>
    <w:link w:val="Heading1Char"/>
    <w:uiPriority w:val="9"/>
    <w:qFormat/>
    <w:rsid w:val="00773DBA"/>
    <w:pPr>
      <w:keepNext/>
      <w:keepLines/>
      <w:spacing w:before="320" w:after="40"/>
      <w:outlineLvl w:val="0"/>
    </w:pPr>
    <w:rPr>
      <w:rFonts w:asciiTheme="majorHAnsi" w:eastAsiaTheme="majorEastAsia" w:hAnsiTheme="majorHAnsi" w:cstheme="majorBidi"/>
      <w:color w:val="2E74B5" w:themeColor="accent1" w:themeShade="BF"/>
      <w:sz w:val="40"/>
      <w:szCs w:val="50"/>
    </w:rPr>
  </w:style>
  <w:style w:type="paragraph" w:styleId="Heading2">
    <w:name w:val="heading 2"/>
    <w:basedOn w:val="Normal"/>
    <w:next w:val="Normal"/>
    <w:link w:val="Heading2Char"/>
    <w:uiPriority w:val="9"/>
    <w:semiHidden/>
    <w:unhideWhenUsed/>
    <w:qFormat/>
    <w:rsid w:val="00773DBA"/>
    <w:pPr>
      <w:keepNext/>
      <w:keepLines/>
      <w:spacing w:before="120" w:after="40"/>
      <w:outlineLvl w:val="1"/>
    </w:pPr>
    <w:rPr>
      <w:rFonts w:asciiTheme="majorHAnsi" w:eastAsiaTheme="majorEastAsia" w:hAnsiTheme="majorHAnsi" w:cstheme="majorBidi"/>
      <w:color w:val="2E74B5" w:themeColor="accent1" w:themeShade="BF"/>
      <w:sz w:val="32"/>
      <w:szCs w:val="40"/>
    </w:rPr>
  </w:style>
  <w:style w:type="paragraph" w:styleId="Heading3">
    <w:name w:val="heading 3"/>
    <w:basedOn w:val="Normal"/>
    <w:next w:val="Normal"/>
    <w:link w:val="Heading3Char"/>
    <w:uiPriority w:val="9"/>
    <w:semiHidden/>
    <w:unhideWhenUsed/>
    <w:qFormat/>
    <w:rsid w:val="00773DBA"/>
    <w:pPr>
      <w:keepNext/>
      <w:keepLines/>
      <w:spacing w:before="120" w:after="40"/>
      <w:outlineLvl w:val="2"/>
    </w:pPr>
    <w:rPr>
      <w:rFonts w:eastAsiaTheme="majorEastAsia" w:cstheme="majorBidi"/>
      <w:color w:val="2E74B5" w:themeColor="accent1" w:themeShade="BF"/>
      <w:sz w:val="28"/>
      <w:szCs w:val="35"/>
    </w:rPr>
  </w:style>
  <w:style w:type="paragraph" w:styleId="Heading4">
    <w:name w:val="heading 4"/>
    <w:basedOn w:val="Normal"/>
    <w:next w:val="Normal"/>
    <w:link w:val="Heading4Char"/>
    <w:uiPriority w:val="9"/>
    <w:semiHidden/>
    <w:unhideWhenUsed/>
    <w:qFormat/>
    <w:rsid w:val="00773DB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73DB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73D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3D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3D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3D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DBA"/>
    <w:rPr>
      <w:rFonts w:asciiTheme="majorHAnsi" w:eastAsiaTheme="majorEastAsia" w:hAnsiTheme="majorHAnsi" w:cstheme="majorBidi"/>
      <w:color w:val="2E74B5" w:themeColor="accent1" w:themeShade="BF"/>
      <w:sz w:val="40"/>
      <w:szCs w:val="50"/>
    </w:rPr>
  </w:style>
  <w:style w:type="character" w:customStyle="1" w:styleId="Heading2Char">
    <w:name w:val="Heading 2 Char"/>
    <w:basedOn w:val="DefaultParagraphFont"/>
    <w:link w:val="Heading2"/>
    <w:uiPriority w:val="9"/>
    <w:semiHidden/>
    <w:rsid w:val="00773DBA"/>
    <w:rPr>
      <w:rFonts w:asciiTheme="majorHAnsi" w:eastAsiaTheme="majorEastAsia" w:hAnsiTheme="majorHAnsi" w:cstheme="majorBidi"/>
      <w:color w:val="2E74B5" w:themeColor="accent1" w:themeShade="BF"/>
      <w:sz w:val="32"/>
      <w:szCs w:val="40"/>
    </w:rPr>
  </w:style>
  <w:style w:type="character" w:customStyle="1" w:styleId="Heading3Char">
    <w:name w:val="Heading 3 Char"/>
    <w:basedOn w:val="DefaultParagraphFont"/>
    <w:link w:val="Heading3"/>
    <w:uiPriority w:val="9"/>
    <w:semiHidden/>
    <w:rsid w:val="00773DBA"/>
    <w:rPr>
      <w:rFonts w:eastAsiaTheme="majorEastAsia" w:cstheme="majorBidi"/>
      <w:color w:val="2E74B5" w:themeColor="accent1" w:themeShade="BF"/>
      <w:sz w:val="28"/>
      <w:szCs w:val="35"/>
    </w:rPr>
  </w:style>
  <w:style w:type="character" w:customStyle="1" w:styleId="Heading4Char">
    <w:name w:val="Heading 4 Char"/>
    <w:basedOn w:val="DefaultParagraphFont"/>
    <w:link w:val="Heading4"/>
    <w:uiPriority w:val="9"/>
    <w:semiHidden/>
    <w:rsid w:val="00773DB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73DB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73D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3D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3D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3DBA"/>
    <w:rPr>
      <w:rFonts w:eastAsiaTheme="majorEastAsia" w:cstheme="majorBidi"/>
      <w:color w:val="272727" w:themeColor="text1" w:themeTint="D8"/>
    </w:rPr>
  </w:style>
  <w:style w:type="paragraph" w:styleId="Title">
    <w:name w:val="Title"/>
    <w:basedOn w:val="Normal"/>
    <w:next w:val="Normal"/>
    <w:link w:val="TitleChar"/>
    <w:uiPriority w:val="10"/>
    <w:qFormat/>
    <w:rsid w:val="00773DBA"/>
    <w:pPr>
      <w:spacing w:after="4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73DBA"/>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73DBA"/>
    <w:pPr>
      <w:numPr>
        <w:ilvl w:val="1"/>
      </w:numPr>
      <w:spacing w:after="160"/>
      <w:ind w:firstLine="567"/>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73DBA"/>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73D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3DBA"/>
    <w:rPr>
      <w:i/>
      <w:iCs/>
      <w:color w:val="404040" w:themeColor="text1" w:themeTint="BF"/>
    </w:rPr>
  </w:style>
  <w:style w:type="paragraph" w:styleId="ListParagraph">
    <w:name w:val="List Paragraph"/>
    <w:basedOn w:val="Normal"/>
    <w:uiPriority w:val="34"/>
    <w:qFormat/>
    <w:rsid w:val="00773DBA"/>
    <w:pPr>
      <w:ind w:left="720"/>
      <w:contextualSpacing/>
    </w:pPr>
  </w:style>
  <w:style w:type="character" w:styleId="IntenseEmphasis">
    <w:name w:val="Intense Emphasis"/>
    <w:basedOn w:val="DefaultParagraphFont"/>
    <w:uiPriority w:val="21"/>
    <w:qFormat/>
    <w:rsid w:val="00773DBA"/>
    <w:rPr>
      <w:i/>
      <w:iCs/>
      <w:color w:val="2E74B5" w:themeColor="accent1" w:themeShade="BF"/>
    </w:rPr>
  </w:style>
  <w:style w:type="paragraph" w:styleId="IntenseQuote">
    <w:name w:val="Intense Quote"/>
    <w:basedOn w:val="Normal"/>
    <w:next w:val="Normal"/>
    <w:link w:val="IntenseQuoteChar"/>
    <w:uiPriority w:val="30"/>
    <w:qFormat/>
    <w:rsid w:val="00773DB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73DBA"/>
    <w:rPr>
      <w:i/>
      <w:iCs/>
      <w:color w:val="2E74B5" w:themeColor="accent1" w:themeShade="BF"/>
    </w:rPr>
  </w:style>
  <w:style w:type="character" w:styleId="IntenseReference">
    <w:name w:val="Intense Reference"/>
    <w:basedOn w:val="DefaultParagraphFont"/>
    <w:uiPriority w:val="32"/>
    <w:qFormat/>
    <w:rsid w:val="00773DBA"/>
    <w:rPr>
      <w:b/>
      <w:bCs/>
      <w:smallCaps/>
      <w:color w:val="2E74B5" w:themeColor="accent1" w:themeShade="BF"/>
      <w:spacing w:val="5"/>
    </w:rPr>
  </w:style>
  <w:style w:type="paragraph" w:styleId="Header">
    <w:name w:val="header"/>
    <w:basedOn w:val="Normal"/>
    <w:link w:val="HeaderChar"/>
    <w:uiPriority w:val="99"/>
    <w:unhideWhenUsed/>
    <w:rsid w:val="00773DBA"/>
    <w:pPr>
      <w:tabs>
        <w:tab w:val="center" w:pos="4513"/>
        <w:tab w:val="right" w:pos="9026"/>
      </w:tabs>
    </w:pPr>
  </w:style>
  <w:style w:type="character" w:customStyle="1" w:styleId="HeaderChar">
    <w:name w:val="Header Char"/>
    <w:basedOn w:val="DefaultParagraphFont"/>
    <w:link w:val="Header"/>
    <w:uiPriority w:val="99"/>
    <w:rsid w:val="00773DBA"/>
  </w:style>
  <w:style w:type="paragraph" w:styleId="Footer">
    <w:name w:val="footer"/>
    <w:basedOn w:val="Normal"/>
    <w:link w:val="FooterChar"/>
    <w:uiPriority w:val="99"/>
    <w:unhideWhenUsed/>
    <w:rsid w:val="00773DBA"/>
    <w:pPr>
      <w:tabs>
        <w:tab w:val="center" w:pos="4513"/>
        <w:tab w:val="right" w:pos="9026"/>
      </w:tabs>
    </w:pPr>
  </w:style>
  <w:style w:type="character" w:customStyle="1" w:styleId="FooterChar">
    <w:name w:val="Footer Char"/>
    <w:basedOn w:val="DefaultParagraphFont"/>
    <w:link w:val="Footer"/>
    <w:uiPriority w:val="99"/>
    <w:rsid w:val="00773DBA"/>
  </w:style>
  <w:style w:type="paragraph" w:styleId="NormalWeb">
    <w:name w:val="Normal (Web)"/>
    <w:basedOn w:val="Normal"/>
    <w:uiPriority w:val="99"/>
    <w:unhideWhenUsed/>
    <w:rsid w:val="00604C01"/>
    <w:pPr>
      <w:spacing w:before="100" w:beforeAutospacing="1" w:after="100" w:afterAutospacing="1"/>
      <w:ind w:firstLine="0"/>
      <w:jc w:val="left"/>
    </w:pPr>
    <w:rPr>
      <w:rFonts w:ascii="Tahoma" w:eastAsia="Times New Roman" w:hAnsi="Tahoma" w:cs="Tahoma"/>
      <w:kern w:val="0"/>
      <w:sz w:val="24"/>
      <w:szCs w:val="24"/>
      <w14:ligatures w14:val="none"/>
    </w:rPr>
  </w:style>
  <w:style w:type="character" w:styleId="Emphasis">
    <w:name w:val="Emphasis"/>
    <w:basedOn w:val="DefaultParagraphFont"/>
    <w:uiPriority w:val="20"/>
    <w:qFormat/>
    <w:rsid w:val="00604C01"/>
    <w:rPr>
      <w:i/>
      <w:iCs/>
    </w:rPr>
  </w:style>
  <w:style w:type="character" w:styleId="Hyperlink">
    <w:name w:val="Hyperlink"/>
    <w:basedOn w:val="DefaultParagraphFont"/>
    <w:uiPriority w:val="99"/>
    <w:unhideWhenUsed/>
    <w:rsid w:val="005E4C61"/>
    <w:rPr>
      <w:color w:val="0563C1" w:themeColor="hyperlink"/>
      <w:u w:val="single"/>
    </w:rPr>
  </w:style>
  <w:style w:type="character" w:customStyle="1" w:styleId="UnresolvedMention1">
    <w:name w:val="Unresolved Mention1"/>
    <w:basedOn w:val="DefaultParagraphFont"/>
    <w:uiPriority w:val="99"/>
    <w:semiHidden/>
    <w:unhideWhenUsed/>
    <w:rsid w:val="005E4C61"/>
    <w:rPr>
      <w:color w:val="605E5C"/>
      <w:shd w:val="clear" w:color="auto" w:fill="E1DFDD"/>
    </w:rPr>
  </w:style>
  <w:style w:type="table" w:styleId="TableGrid">
    <w:name w:val="Table Grid"/>
    <w:basedOn w:val="TableNormal"/>
    <w:uiPriority w:val="39"/>
    <w:rsid w:val="00F12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kpscreenreader">
    <w:name w:val="pkp_screen_reader"/>
    <w:basedOn w:val="DefaultParagraphFont"/>
    <w:rsid w:val="009D7869"/>
  </w:style>
  <w:style w:type="character" w:customStyle="1" w:styleId="gridcellcontainer">
    <w:name w:val="gridcellcontainer"/>
    <w:basedOn w:val="DefaultParagraphFont"/>
    <w:rsid w:val="009D7869"/>
  </w:style>
  <w:style w:type="character" w:styleId="FollowedHyperlink">
    <w:name w:val="FollowedHyperlink"/>
    <w:basedOn w:val="DefaultParagraphFont"/>
    <w:uiPriority w:val="99"/>
    <w:semiHidden/>
    <w:unhideWhenUsed/>
    <w:rsid w:val="009D7869"/>
    <w:rPr>
      <w:color w:val="954F72" w:themeColor="followedHyperlink"/>
      <w:u w:val="single"/>
    </w:rPr>
  </w:style>
  <w:style w:type="character" w:styleId="Strong">
    <w:name w:val="Strong"/>
    <w:basedOn w:val="DefaultParagraphFont"/>
    <w:uiPriority w:val="22"/>
    <w:qFormat/>
    <w:rsid w:val="00C1495E"/>
    <w:rPr>
      <w:b/>
      <w:bCs/>
    </w:rPr>
  </w:style>
  <w:style w:type="character" w:styleId="UnresolvedMention">
    <w:name w:val="Unresolved Mention"/>
    <w:basedOn w:val="DefaultParagraphFont"/>
    <w:uiPriority w:val="99"/>
    <w:semiHidden/>
    <w:unhideWhenUsed/>
    <w:rsid w:val="00075E68"/>
    <w:rPr>
      <w:color w:val="605E5C"/>
      <w:shd w:val="clear" w:color="auto" w:fill="E1DFDD"/>
    </w:rPr>
  </w:style>
  <w:style w:type="table" w:customStyle="1" w:styleId="TableGrid1">
    <w:name w:val="Table Grid1"/>
    <w:basedOn w:val="TableNormal"/>
    <w:next w:val="TableGrid"/>
    <w:uiPriority w:val="39"/>
    <w:rsid w:val="0068737F"/>
    <w:pPr>
      <w:spacing w:after="0" w:line="240" w:lineRule="auto"/>
    </w:pPr>
    <w:rPr>
      <w:rFonts w:ascii="Calibri" w:eastAsia="Calibri" w:hAnsi="Calibri" w:cs="Cordia New"/>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94250"/>
    <w:pPr>
      <w:spacing w:after="0" w:line="240" w:lineRule="auto"/>
    </w:pPr>
    <w:rPr>
      <w:rFonts w:ascii="Times New Roman" w:eastAsia="Times New Roman" w:hAnsi="Times New Roman" w:cs="Times New Roman"/>
      <w:kern w:val="0"/>
      <w:sz w:val="20"/>
      <w:szCs w:val="2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E6436"/>
    <w:pPr>
      <w:spacing w:after="0" w:line="240" w:lineRule="auto"/>
    </w:pPr>
    <w:rPr>
      <w:rFonts w:ascii="Times New Roman" w:eastAsia="Times New Roman" w:hAnsi="Times New Roman" w:cs="Times New Roman"/>
      <w:kern w:val="0"/>
      <w:sz w:val="20"/>
      <w:szCs w:val="2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55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16</Pages>
  <Words>4626</Words>
  <Characters>26374</Characters>
  <Application>Microsoft Office Word</Application>
  <DocSecurity>0</DocSecurity>
  <Lines>219</Lines>
  <Paragraphs>61</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30939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Chakrapol Thepa</dc:creator>
  <cp:keywords/>
  <dc:description/>
  <cp:lastModifiedBy>Chakrapol Thepa</cp:lastModifiedBy>
  <cp:revision>59</cp:revision>
  <cp:lastPrinted>2026-05-13T03:28:00Z</cp:lastPrinted>
  <dcterms:created xsi:type="dcterms:W3CDTF">2026-04-04T07:05:00Z</dcterms:created>
  <dcterms:modified xsi:type="dcterms:W3CDTF">2026-08-16T06:05:00Z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d332e2d6-785d-4cd0-a599-6b30787772a8</vt:lpwstr>
  </property>
</Properties>
</file>